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6334F245" w:rsidR="00C06EAC" w:rsidRPr="00FB0309" w:rsidRDefault="00C06EAC" w:rsidP="001518BF">
      <w:pPr>
        <w:numPr>
          <w:ilvl w:val="0"/>
          <w:numId w:val="12"/>
        </w:numPr>
        <w:spacing w:after="100" w:afterAutospacing="1" w:line="240" w:lineRule="auto"/>
        <w:jc w:val="both"/>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482EE787" w:rsidR="00C06EAC" w:rsidRPr="00C24DB1" w:rsidRDefault="00C06EAC" w:rsidP="001518BF">
      <w:pPr>
        <w:numPr>
          <w:ilvl w:val="0"/>
          <w:numId w:val="12"/>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4ED476F3" w14:textId="3528F93E" w:rsidR="001158AB" w:rsidRPr="001158AB" w:rsidRDefault="001158AB" w:rsidP="001158AB">
      <w:pPr>
        <w:spacing w:before="311"/>
        <w:ind w:left="81"/>
        <w:jc w:val="center"/>
        <w:rPr>
          <w:b/>
          <w:color w:val="FFFFFF"/>
          <w:spacing w:val="-2"/>
          <w:sz w:val="48"/>
          <w:shd w:val="clear" w:color="auto" w:fill="000080"/>
          <w:lang w:val="en-IE"/>
        </w:rPr>
      </w:pPr>
      <w:r w:rsidRPr="001158AB">
        <w:rPr>
          <w:b/>
          <w:color w:val="FFFFFF"/>
          <w:spacing w:val="-2"/>
          <w:sz w:val="48"/>
          <w:shd w:val="clear" w:color="auto" w:fill="000080"/>
          <w:lang w:val="en-IE"/>
        </w:rPr>
        <w:t>Economis</w:t>
      </w:r>
      <w:r w:rsidR="007A699F">
        <w:rPr>
          <w:b/>
          <w:color w:val="FFFFFF"/>
          <w:spacing w:val="-2"/>
          <w:sz w:val="48"/>
          <w:shd w:val="clear" w:color="auto" w:fill="000080"/>
          <w:lang w:val="en-IE"/>
        </w:rPr>
        <w:t>t Analys</w:t>
      </w:r>
      <w:r w:rsidRPr="001158AB">
        <w:rPr>
          <w:b/>
          <w:color w:val="FFFFFF"/>
          <w:spacing w:val="-2"/>
          <w:sz w:val="48"/>
          <w:shd w:val="clear" w:color="auto" w:fill="000080"/>
          <w:lang w:val="en-IE"/>
        </w:rPr>
        <w:t>t</w:t>
      </w:r>
    </w:p>
    <w:p w14:paraId="47E41A06" w14:textId="77777777" w:rsidR="001158AB" w:rsidRPr="001158AB" w:rsidRDefault="001158AB" w:rsidP="001158AB">
      <w:pPr>
        <w:spacing w:before="311"/>
        <w:ind w:left="81"/>
        <w:jc w:val="center"/>
        <w:rPr>
          <w:b/>
          <w:color w:val="FFFFFF"/>
          <w:spacing w:val="-2"/>
          <w:sz w:val="48"/>
          <w:shd w:val="clear" w:color="auto" w:fill="000080"/>
          <w:lang w:val="en-IE"/>
        </w:rPr>
      </w:pPr>
      <w:r w:rsidRPr="001158AB">
        <w:rPr>
          <w:b/>
          <w:color w:val="FFFFFF"/>
          <w:spacing w:val="-2"/>
          <w:sz w:val="48"/>
          <w:shd w:val="clear" w:color="auto" w:fill="000080"/>
          <w:lang w:val="en-IE"/>
        </w:rPr>
        <w:t>in DG ECFIN of the European Commission</w:t>
      </w:r>
    </w:p>
    <w:p w14:paraId="14C7388A" w14:textId="77777777" w:rsidR="001158AB" w:rsidRPr="001158AB" w:rsidRDefault="001158AB" w:rsidP="001158AB">
      <w:pPr>
        <w:widowControl w:val="0"/>
        <w:autoSpaceDE w:val="0"/>
        <w:autoSpaceDN w:val="0"/>
        <w:spacing w:before="154" w:after="0" w:line="240" w:lineRule="auto"/>
        <w:rPr>
          <w:rFonts w:ascii="Times New Roman" w:eastAsia="Times New Roman" w:hAnsi="Times New Roman" w:cs="Times New Roman"/>
          <w:b/>
          <w:sz w:val="20"/>
          <w:szCs w:val="24"/>
        </w:rPr>
      </w:pPr>
    </w:p>
    <w:p w14:paraId="39D0D03D" w14:textId="77777777" w:rsidR="001158AB" w:rsidRPr="001158AB" w:rsidRDefault="001158AB" w:rsidP="001158AB">
      <w:pPr>
        <w:spacing w:after="0"/>
        <w:jc w:val="both"/>
        <w:rPr>
          <w:rFonts w:ascii="EC Square Sans Pro" w:hAnsi="EC Square Sans Pro" w:cstheme="minorHAnsi"/>
          <w:b/>
          <w:sz w:val="24"/>
          <w:szCs w:val="24"/>
          <w:lang w:val="en-IE"/>
        </w:rPr>
      </w:pPr>
      <w:r w:rsidRPr="001158AB">
        <w:rPr>
          <w:rFonts w:ascii="EC Square Sans Pro" w:hAnsi="EC Square Sans Pro" w:cstheme="minorHAnsi"/>
          <w:b/>
          <w:sz w:val="24"/>
          <w:szCs w:val="24"/>
          <w:lang w:val="en-IE"/>
        </w:rPr>
        <w:t>Job title</w:t>
      </w:r>
      <w:r w:rsidRPr="001158AB">
        <w:rPr>
          <w:rFonts w:ascii="EC Square Sans Pro" w:hAnsi="EC Square Sans Pro" w:cstheme="minorHAnsi"/>
          <w:bCs/>
          <w:sz w:val="24"/>
          <w:szCs w:val="24"/>
          <w:lang w:val="en-IE"/>
        </w:rPr>
        <w:t>: Economic Analyst</w:t>
      </w:r>
    </w:p>
    <w:p w14:paraId="1AD1804A" w14:textId="77777777" w:rsidR="001158AB" w:rsidRPr="001158AB" w:rsidRDefault="001158AB" w:rsidP="001158AB">
      <w:pPr>
        <w:spacing w:after="0"/>
        <w:jc w:val="both"/>
        <w:rPr>
          <w:rFonts w:ascii="EC Square Sans Pro" w:hAnsi="EC Square Sans Pro" w:cstheme="minorHAnsi"/>
          <w:b/>
          <w:sz w:val="24"/>
          <w:szCs w:val="24"/>
          <w:lang w:val="en-IE"/>
        </w:rPr>
      </w:pPr>
      <w:r w:rsidRPr="001158AB">
        <w:rPr>
          <w:rFonts w:ascii="EC Square Sans Pro" w:hAnsi="EC Square Sans Pro" w:cstheme="minorHAnsi"/>
          <w:b/>
          <w:sz w:val="24"/>
          <w:szCs w:val="24"/>
          <w:lang w:val="en-IE"/>
        </w:rPr>
        <w:t xml:space="preserve">Domain: </w:t>
      </w:r>
      <w:r w:rsidRPr="001158AB">
        <w:rPr>
          <w:rFonts w:ascii="EC Square Sans Pro" w:hAnsi="EC Square Sans Pro" w:cstheme="minorHAnsi"/>
          <w:bCs/>
          <w:sz w:val="24"/>
          <w:szCs w:val="24"/>
          <w:lang w:val="en-IE"/>
        </w:rPr>
        <w:t>Economics</w:t>
      </w:r>
    </w:p>
    <w:p w14:paraId="72335F56" w14:textId="77777777" w:rsidR="001158AB" w:rsidRPr="001158AB" w:rsidRDefault="001158AB" w:rsidP="001158AB">
      <w:pPr>
        <w:spacing w:after="0"/>
        <w:jc w:val="both"/>
        <w:rPr>
          <w:rFonts w:ascii="EC Square Sans Pro" w:hAnsi="EC Square Sans Pro" w:cstheme="minorHAnsi"/>
          <w:bCs/>
          <w:sz w:val="24"/>
          <w:szCs w:val="24"/>
          <w:lang w:val="en-IE"/>
        </w:rPr>
      </w:pPr>
      <w:r w:rsidRPr="001158AB">
        <w:rPr>
          <w:rFonts w:ascii="EC Square Sans Pro" w:hAnsi="EC Square Sans Pro" w:cstheme="minorHAnsi"/>
          <w:b/>
          <w:sz w:val="24"/>
          <w:szCs w:val="24"/>
          <w:lang w:val="en-IE"/>
        </w:rPr>
        <w:t xml:space="preserve">Where: </w:t>
      </w:r>
      <w:r w:rsidRPr="001158AB">
        <w:rPr>
          <w:rFonts w:ascii="EC Square Sans Pro" w:hAnsi="EC Square Sans Pro" w:cstheme="minorHAnsi"/>
          <w:bCs/>
          <w:sz w:val="24"/>
          <w:szCs w:val="24"/>
          <w:lang w:val="en-IE"/>
        </w:rPr>
        <w:t>ECFIN.D.2</w:t>
      </w:r>
      <w:r w:rsidRPr="001158AB">
        <w:rPr>
          <w:rFonts w:ascii="EC Square Sans Pro" w:hAnsi="EC Square Sans Pro" w:cstheme="minorHAnsi"/>
          <w:b/>
          <w:sz w:val="24"/>
          <w:szCs w:val="24"/>
          <w:lang w:val="en-IE"/>
        </w:rPr>
        <w:t xml:space="preserve"> </w:t>
      </w:r>
      <w:r w:rsidRPr="001158AB">
        <w:rPr>
          <w:rFonts w:ascii="EC Square Sans Pro" w:hAnsi="EC Square Sans Pro" w:cstheme="minorHAnsi"/>
          <w:bCs/>
          <w:sz w:val="24"/>
          <w:szCs w:val="24"/>
          <w:lang w:val="en-IE"/>
        </w:rPr>
        <w:t>- Neighbourhood Countries and Macro-Financial Assistance, Brussels</w:t>
      </w:r>
    </w:p>
    <w:p w14:paraId="37DD58E2" w14:textId="77777777" w:rsidR="001158AB" w:rsidRPr="001158AB" w:rsidRDefault="001158AB" w:rsidP="001158AB">
      <w:pPr>
        <w:spacing w:after="0"/>
        <w:jc w:val="both"/>
        <w:rPr>
          <w:rFonts w:ascii="EC Square Sans Pro" w:hAnsi="EC Square Sans Pro" w:cstheme="minorHAnsi"/>
          <w:b/>
          <w:sz w:val="24"/>
          <w:szCs w:val="24"/>
          <w:lang w:val="en-IE"/>
        </w:rPr>
      </w:pPr>
      <w:r w:rsidRPr="001158AB">
        <w:rPr>
          <w:rFonts w:ascii="EC Square Sans Pro" w:hAnsi="EC Square Sans Pro" w:cstheme="minorHAnsi"/>
          <w:b/>
          <w:sz w:val="24"/>
          <w:szCs w:val="24"/>
          <w:lang w:val="en-IE"/>
        </w:rPr>
        <w:t xml:space="preserve">Function Group: </w:t>
      </w:r>
      <w:r w:rsidRPr="001158AB">
        <w:rPr>
          <w:rFonts w:ascii="EC Square Sans Pro" w:hAnsi="EC Square Sans Pro" w:cstheme="minorHAnsi"/>
          <w:bCs/>
          <w:sz w:val="24"/>
          <w:szCs w:val="24"/>
          <w:lang w:val="en-IE"/>
        </w:rPr>
        <w:t>FG IV</w:t>
      </w:r>
    </w:p>
    <w:p w14:paraId="41A7ACA5" w14:textId="77777777" w:rsidR="001158AB" w:rsidRPr="001158AB" w:rsidRDefault="001158AB" w:rsidP="001158AB">
      <w:pPr>
        <w:spacing w:after="0"/>
        <w:jc w:val="both"/>
        <w:rPr>
          <w:rFonts w:ascii="EC Square Sans Pro" w:hAnsi="EC Square Sans Pro" w:cstheme="minorHAnsi"/>
          <w:b/>
          <w:sz w:val="24"/>
          <w:szCs w:val="24"/>
          <w:lang w:val="en-IE"/>
        </w:rPr>
      </w:pPr>
      <w:r w:rsidRPr="001158AB">
        <w:rPr>
          <w:rFonts w:ascii="EC Square Sans Pro" w:hAnsi="EC Square Sans Pro" w:cstheme="minorHAnsi"/>
          <w:b/>
          <w:sz w:val="24"/>
          <w:szCs w:val="24"/>
          <w:lang w:val="en-IE"/>
        </w:rPr>
        <w:t xml:space="preserve">Contract Type: </w:t>
      </w:r>
      <w:r w:rsidRPr="001158AB">
        <w:rPr>
          <w:rFonts w:ascii="EC Square Sans Pro" w:hAnsi="EC Square Sans Pro" w:cstheme="minorHAnsi"/>
          <w:bCs/>
          <w:sz w:val="24"/>
          <w:szCs w:val="24"/>
          <w:lang w:val="en-IE"/>
        </w:rPr>
        <w:t>3b</w:t>
      </w:r>
    </w:p>
    <w:p w14:paraId="589707E9" w14:textId="78D50228" w:rsidR="001158AB" w:rsidRPr="001158AB" w:rsidRDefault="001158AB" w:rsidP="001158AB">
      <w:pPr>
        <w:spacing w:after="0"/>
        <w:jc w:val="both"/>
        <w:rPr>
          <w:rFonts w:ascii="EC Square Sans Pro" w:hAnsi="EC Square Sans Pro" w:cstheme="minorHAnsi"/>
          <w:b/>
          <w:sz w:val="24"/>
          <w:szCs w:val="24"/>
          <w:lang w:val="en-IE"/>
        </w:rPr>
      </w:pPr>
      <w:r w:rsidRPr="001158AB">
        <w:rPr>
          <w:rFonts w:ascii="EC Square Sans Pro" w:hAnsi="EC Square Sans Pro" w:cstheme="minorHAnsi"/>
          <w:b/>
          <w:sz w:val="24"/>
          <w:szCs w:val="24"/>
          <w:lang w:val="en-IE"/>
        </w:rPr>
        <w:t xml:space="preserve">Express your interest until: </w:t>
      </w:r>
      <w:r w:rsidRPr="001158AB">
        <w:rPr>
          <w:rFonts w:ascii="EC Square Sans Pro" w:hAnsi="EC Square Sans Pro" w:cstheme="minorHAnsi"/>
          <w:bCs/>
          <w:sz w:val="24"/>
          <w:szCs w:val="24"/>
          <w:lang w:val="en-IE"/>
        </w:rPr>
        <w:t>1</w:t>
      </w:r>
      <w:r w:rsidR="0097391C">
        <w:rPr>
          <w:rFonts w:ascii="EC Square Sans Pro" w:hAnsi="EC Square Sans Pro" w:cstheme="minorHAnsi"/>
          <w:bCs/>
          <w:sz w:val="24"/>
          <w:szCs w:val="24"/>
          <w:lang w:val="en-IE"/>
        </w:rPr>
        <w:t>7</w:t>
      </w:r>
      <w:r w:rsidRPr="001158AB">
        <w:rPr>
          <w:rFonts w:ascii="EC Square Sans Pro" w:hAnsi="EC Square Sans Pro" w:cstheme="minorHAnsi"/>
          <w:bCs/>
          <w:sz w:val="24"/>
          <w:szCs w:val="24"/>
          <w:lang w:val="en-IE"/>
        </w:rPr>
        <w:t>.03.2026 - 12.00 (</w:t>
      </w:r>
      <w:r w:rsidR="00E22170">
        <w:rPr>
          <w:rFonts w:ascii="EC Square Sans Pro" w:hAnsi="EC Square Sans Pro" w:cstheme="minorHAnsi"/>
          <w:bCs/>
          <w:sz w:val="24"/>
          <w:szCs w:val="24"/>
          <w:lang w:val="en-IE"/>
        </w:rPr>
        <w:t xml:space="preserve">noon, </w:t>
      </w:r>
      <w:r w:rsidRPr="001158AB">
        <w:rPr>
          <w:rFonts w:ascii="EC Square Sans Pro" w:hAnsi="EC Square Sans Pro" w:cstheme="minorHAnsi"/>
          <w:bCs/>
          <w:sz w:val="24"/>
          <w:szCs w:val="24"/>
          <w:lang w:val="en-IE"/>
        </w:rPr>
        <w:t>Brussels time)</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200F8C79" w14:textId="77777777"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The international directorate of ECFIN – International Economic and Financial Relations and Institutions – aims at fostering growth and stability in third countries and thereby contributes to economic prosperity and stability in the EU. Our Directorate also supports the process of EU enlargement by providing the macroeconomic assessment and economic policy recommendations to help candidate countries prepare for joining the EU and the Economic and Monetary Union.</w:t>
      </w:r>
    </w:p>
    <w:p w14:paraId="0F8CD301" w14:textId="77777777"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Within the Directorate, Unit D.2 mission is to promote prosperity and stability in the EU by promoting appropriate economic policies in the countries that are part of the European Neighbourhood Policy (ENP)*, and some of the candidate countries. Among the Unit’s main tasks are ensuring the monitoring and analysis of economic developments and policies in these countries, and managing the EU’s Macro-Financial Assistance, in close cooperation with the countries’ authorities and other internal and external stakeholders.</w:t>
      </w:r>
    </w:p>
    <w:p w14:paraId="2887870F" w14:textId="77777777" w:rsidR="001158AB" w:rsidRPr="00AD3D23" w:rsidRDefault="001158AB" w:rsidP="001518BF">
      <w:pPr>
        <w:pStyle w:val="BodyText"/>
        <w:spacing w:before="202"/>
        <w:ind w:left="220"/>
        <w:jc w:val="both"/>
        <w:rPr>
          <w:color w:val="000000"/>
          <w:shd w:val="clear" w:color="auto" w:fill="F9FBFF"/>
          <w:lang w:val="en-GB"/>
        </w:rPr>
      </w:pPr>
      <w:r w:rsidRPr="001518BF">
        <w:rPr>
          <w:color w:val="000000"/>
          <w:shd w:val="clear" w:color="auto" w:fill="F9FBFF"/>
          <w:lang w:val="en-GB"/>
        </w:rPr>
        <w:t>*Algeria, Armenia, Azerbaijan, Belarus, Egypt, Israel, Jordan, Lebanon, Libya, Morocco, Palestine, Syria, and Tunisia</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EFF0986" w14:textId="77777777" w:rsidR="001158AB" w:rsidRPr="00AD3D23" w:rsidRDefault="001158AB" w:rsidP="001518BF">
      <w:pPr>
        <w:pStyle w:val="BodyText"/>
        <w:ind w:left="220" w:right="34"/>
        <w:jc w:val="both"/>
        <w:rPr>
          <w:color w:val="000000"/>
          <w:shd w:val="clear" w:color="auto" w:fill="F9FBFF"/>
          <w:lang w:val="en-GB"/>
        </w:rPr>
      </w:pPr>
      <w:r w:rsidRPr="00AD3D23">
        <w:rPr>
          <w:lang w:val="en-GB"/>
        </w:rPr>
        <w:t>Unit</w:t>
      </w:r>
      <w:r w:rsidRPr="00AD3D23">
        <w:rPr>
          <w:spacing w:val="-3"/>
          <w:lang w:val="en-GB"/>
        </w:rPr>
        <w:t xml:space="preserve"> D2 </w:t>
      </w:r>
      <w:r w:rsidRPr="00AD3D23">
        <w:rPr>
          <w:lang w:val="en-GB"/>
        </w:rPr>
        <w:t>of</w:t>
      </w:r>
      <w:r w:rsidRPr="00AD3D23">
        <w:rPr>
          <w:spacing w:val="-4"/>
          <w:lang w:val="en-GB"/>
        </w:rPr>
        <w:t xml:space="preserve"> </w:t>
      </w:r>
      <w:r w:rsidRPr="00AD3D23">
        <w:rPr>
          <w:lang w:val="en-GB"/>
        </w:rPr>
        <w:t>DG</w:t>
      </w:r>
      <w:r w:rsidRPr="00AD3D23">
        <w:rPr>
          <w:spacing w:val="-2"/>
          <w:lang w:val="en-GB"/>
        </w:rPr>
        <w:t xml:space="preserve"> ECFIN</w:t>
      </w:r>
      <w:r w:rsidRPr="00AD3D23">
        <w:rPr>
          <w:color w:val="000000"/>
          <w:spacing w:val="-6"/>
          <w:shd w:val="clear" w:color="auto" w:fill="F9FBFF"/>
          <w:lang w:val="en-GB"/>
        </w:rPr>
        <w:t xml:space="preserve"> </w:t>
      </w:r>
      <w:r w:rsidRPr="00AD3D23">
        <w:rPr>
          <w:color w:val="000000"/>
          <w:shd w:val="clear" w:color="auto" w:fill="F9FBFF"/>
          <w:lang w:val="en-GB"/>
        </w:rPr>
        <w:t>is</w:t>
      </w:r>
      <w:r w:rsidRPr="00AD3D23">
        <w:rPr>
          <w:color w:val="000000"/>
          <w:spacing w:val="-3"/>
          <w:shd w:val="clear" w:color="auto" w:fill="F9FBFF"/>
          <w:lang w:val="en-GB"/>
        </w:rPr>
        <w:t xml:space="preserve"> </w:t>
      </w:r>
      <w:r w:rsidRPr="00AD3D23">
        <w:rPr>
          <w:color w:val="000000"/>
          <w:shd w:val="clear" w:color="auto" w:fill="F9FBFF"/>
          <w:lang w:val="en-GB"/>
        </w:rPr>
        <w:t>seeking</w:t>
      </w:r>
      <w:r w:rsidRPr="00AD3D23">
        <w:rPr>
          <w:color w:val="000000"/>
          <w:spacing w:val="-3"/>
          <w:shd w:val="clear" w:color="auto" w:fill="F9FBFF"/>
          <w:lang w:val="en-GB"/>
        </w:rPr>
        <w:t xml:space="preserve"> </w:t>
      </w:r>
      <w:r w:rsidRPr="00AD3D23">
        <w:rPr>
          <w:color w:val="000000"/>
          <w:shd w:val="clear" w:color="auto" w:fill="F9FBFF"/>
          <w:lang w:val="en-GB"/>
        </w:rPr>
        <w:t>to</w:t>
      </w:r>
      <w:r w:rsidRPr="00AD3D23">
        <w:rPr>
          <w:color w:val="000000"/>
          <w:spacing w:val="-6"/>
          <w:shd w:val="clear" w:color="auto" w:fill="F9FBFF"/>
          <w:lang w:val="en-GB"/>
        </w:rPr>
        <w:t xml:space="preserve"> </w:t>
      </w:r>
      <w:r w:rsidRPr="00AD3D23">
        <w:rPr>
          <w:color w:val="000000"/>
          <w:shd w:val="clear" w:color="auto" w:fill="F9FBFF"/>
          <w:lang w:val="en-GB"/>
        </w:rPr>
        <w:t>hire</w:t>
      </w:r>
      <w:r w:rsidRPr="00AD3D23">
        <w:rPr>
          <w:color w:val="000000"/>
          <w:spacing w:val="-2"/>
          <w:shd w:val="clear" w:color="auto" w:fill="F9FBFF"/>
          <w:lang w:val="en-GB"/>
        </w:rPr>
        <w:t xml:space="preserve"> </w:t>
      </w:r>
      <w:r w:rsidRPr="00AD3D23">
        <w:rPr>
          <w:color w:val="000000"/>
          <w:shd w:val="clear" w:color="auto" w:fill="F9FBFF"/>
          <w:lang w:val="en-GB"/>
        </w:rPr>
        <w:t xml:space="preserve">an economist. </w:t>
      </w:r>
      <w:bookmarkStart w:id="5" w:name="The_position[s]_will_consist_of_[explain"/>
      <w:bookmarkEnd w:id="5"/>
      <w:r w:rsidRPr="00AD3D23">
        <w:rPr>
          <w:color w:val="000000"/>
          <w:shd w:val="clear" w:color="auto" w:fill="F9FBFF"/>
          <w:lang w:val="en-GB"/>
        </w:rPr>
        <w:t>We offer a stimulating and interesting position for a candidate with a solid economic background in a friendly and high-paced working environment. The successful candidate will in particular contribute to the monitoring and analysis of</w:t>
      </w:r>
      <w:r>
        <w:rPr>
          <w:color w:val="000000"/>
          <w:shd w:val="clear" w:color="auto" w:fill="F9FBFF"/>
          <w:lang w:val="en-GB"/>
        </w:rPr>
        <w:t xml:space="preserve"> </w:t>
      </w:r>
      <w:r w:rsidRPr="00AD3D23">
        <w:rPr>
          <w:color w:val="000000"/>
          <w:shd w:val="clear" w:color="auto" w:fill="F9FBFF"/>
          <w:lang w:val="en-GB"/>
        </w:rPr>
        <w:t xml:space="preserve">economic, fiscal and structural developments in the Southern Neighbourhood, including Egypt, the provision of macro-financial assistance (MFA), as well as the development of the EU’s economic policy stance to the country. The </w:t>
      </w:r>
      <w:r w:rsidRPr="00AD3D23">
        <w:rPr>
          <w:color w:val="000000"/>
          <w:shd w:val="clear" w:color="auto" w:fill="F9FBFF"/>
          <w:lang w:val="en-GB"/>
        </w:rPr>
        <w:lastRenderedPageBreak/>
        <w:t>candidate will notably be involved in one or several of the following areas:</w:t>
      </w:r>
    </w:p>
    <w:p w14:paraId="791D474C" w14:textId="77777777" w:rsidR="001158AB" w:rsidRPr="00AD3D23" w:rsidRDefault="001158AB" w:rsidP="001518BF">
      <w:pPr>
        <w:pStyle w:val="BodyText"/>
        <w:ind w:left="220" w:right="34"/>
        <w:jc w:val="both"/>
        <w:rPr>
          <w:color w:val="000000"/>
          <w:shd w:val="clear" w:color="auto" w:fill="F9FBFF"/>
          <w:lang w:val="en-GB"/>
        </w:rPr>
      </w:pPr>
      <w:r w:rsidRPr="00AD3D23">
        <w:rPr>
          <w:color w:val="000000"/>
          <w:shd w:val="clear" w:color="auto" w:fill="F9FBFF"/>
          <w:lang w:val="en-GB"/>
        </w:rPr>
        <w:t xml:space="preserve">(i) implementation of the EU’s </w:t>
      </w:r>
      <w:r>
        <w:rPr>
          <w:color w:val="000000"/>
          <w:shd w:val="clear" w:color="auto" w:fill="F9FBFF"/>
          <w:lang w:val="en-GB"/>
        </w:rPr>
        <w:t>macro-</w:t>
      </w:r>
      <w:r w:rsidRPr="00AD3D23">
        <w:rPr>
          <w:color w:val="000000"/>
          <w:shd w:val="clear" w:color="auto" w:fill="F9FBFF"/>
          <w:lang w:val="en-GB"/>
        </w:rPr>
        <w:t>financial assistance;</w:t>
      </w:r>
    </w:p>
    <w:p w14:paraId="734524D8" w14:textId="77777777" w:rsidR="001158AB" w:rsidRPr="00AD3D23" w:rsidRDefault="001158AB" w:rsidP="001518BF">
      <w:pPr>
        <w:pStyle w:val="BodyText"/>
        <w:ind w:left="220" w:right="34"/>
        <w:jc w:val="both"/>
        <w:rPr>
          <w:color w:val="000000"/>
          <w:shd w:val="clear" w:color="auto" w:fill="F9FBFF"/>
          <w:lang w:val="en-GB"/>
        </w:rPr>
      </w:pPr>
      <w:r w:rsidRPr="00AD3D23">
        <w:rPr>
          <w:color w:val="000000"/>
          <w:shd w:val="clear" w:color="auto" w:fill="F9FBFF"/>
          <w:lang w:val="en-GB"/>
        </w:rPr>
        <w:t xml:space="preserve">(ii) contributing to economic surveillance including through economic and macro-fiscal analysis; </w:t>
      </w:r>
    </w:p>
    <w:p w14:paraId="3EA36496" w14:textId="77777777" w:rsidR="001158AB" w:rsidRPr="00AD3D23" w:rsidRDefault="001158AB" w:rsidP="001518BF">
      <w:pPr>
        <w:pStyle w:val="BodyText"/>
        <w:ind w:left="220" w:right="34"/>
        <w:jc w:val="both"/>
        <w:rPr>
          <w:color w:val="000000"/>
          <w:shd w:val="clear" w:color="auto" w:fill="F9FBFF"/>
          <w:lang w:val="en-GB"/>
        </w:rPr>
      </w:pPr>
      <w:r w:rsidRPr="00AD3D23">
        <w:rPr>
          <w:color w:val="000000"/>
          <w:shd w:val="clear" w:color="auto" w:fill="F9FBFF"/>
          <w:lang w:val="en-GB"/>
        </w:rPr>
        <w:t>(iii) supporting the development of the EU’s policy towards the region;</w:t>
      </w:r>
    </w:p>
    <w:p w14:paraId="1D569A8C" w14:textId="77777777" w:rsidR="001158AB" w:rsidRPr="00AD3D23" w:rsidRDefault="001158AB" w:rsidP="001518BF">
      <w:pPr>
        <w:pStyle w:val="BodyText"/>
        <w:ind w:left="220" w:right="34"/>
        <w:jc w:val="both"/>
        <w:rPr>
          <w:color w:val="000000"/>
          <w:shd w:val="clear" w:color="auto" w:fill="F9FBFF"/>
          <w:lang w:val="en-GB"/>
        </w:rPr>
      </w:pPr>
      <w:r w:rsidRPr="00AD3D23">
        <w:rPr>
          <w:color w:val="000000"/>
          <w:shd w:val="clear" w:color="auto" w:fill="F9FBFF"/>
          <w:lang w:val="en-GB"/>
        </w:rPr>
        <w:t>(iv) preparation of materials including briefings for senior management and the College.</w:t>
      </w:r>
    </w:p>
    <w:p w14:paraId="1E73AE59" w14:textId="77777777" w:rsidR="001158AB" w:rsidRPr="00AD3D23" w:rsidRDefault="001158AB" w:rsidP="001518BF">
      <w:pPr>
        <w:pStyle w:val="BodyText"/>
        <w:ind w:left="220" w:right="34"/>
        <w:jc w:val="both"/>
        <w:rPr>
          <w:color w:val="000000"/>
          <w:shd w:val="clear" w:color="auto" w:fill="F9FBFF"/>
          <w:lang w:val="en-GB"/>
        </w:rPr>
      </w:pPr>
    </w:p>
    <w:p w14:paraId="56F45CBB" w14:textId="77777777" w:rsidR="001158AB" w:rsidRPr="00AD3D23" w:rsidRDefault="001158AB" w:rsidP="001518BF">
      <w:pPr>
        <w:pStyle w:val="BodyText"/>
        <w:ind w:left="220" w:right="34"/>
        <w:jc w:val="both"/>
        <w:rPr>
          <w:lang w:val="en-GB"/>
        </w:rPr>
      </w:pPr>
      <w:r w:rsidRPr="00AD3D23">
        <w:rPr>
          <w:color w:val="000000"/>
          <w:shd w:val="clear" w:color="auto" w:fill="F9FBFF"/>
          <w:lang w:val="en-GB"/>
        </w:rPr>
        <w:t>In addition, the chosen candidate could be involved in monitoring and analysis in relation to MFA operations in other countries covered by the unit. The successful candidate will co-operate closely</w:t>
      </w:r>
      <w:r>
        <w:rPr>
          <w:color w:val="000000"/>
          <w:shd w:val="clear" w:color="auto" w:fill="F9FBFF"/>
          <w:lang w:val="en-GB"/>
        </w:rPr>
        <w:t xml:space="preserve"> </w:t>
      </w:r>
      <w:r w:rsidRPr="00AD3D23">
        <w:rPr>
          <w:color w:val="000000"/>
          <w:shd w:val="clear" w:color="auto" w:fill="F9FBFF"/>
          <w:lang w:val="en-GB"/>
        </w:rPr>
        <w:t>with colleagues in the unit and DG ECFIN, other Commission Services, in particular in DG MENA, the EU and international institutions, as well with official and private sector bodies in the region.</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3E120ED5" w14:textId="77777777" w:rsidR="001158AB" w:rsidRPr="00AD3D23" w:rsidRDefault="001158AB" w:rsidP="001518BF">
      <w:pPr>
        <w:pStyle w:val="BodyText"/>
        <w:spacing w:before="202"/>
        <w:ind w:left="220"/>
        <w:jc w:val="both"/>
        <w:rPr>
          <w:color w:val="000000"/>
          <w:shd w:val="clear" w:color="auto" w:fill="F9FBFF"/>
          <w:lang w:val="en-GB"/>
        </w:rPr>
      </w:pPr>
      <w:bookmarkStart w:id="6" w:name="_Hlk144109741"/>
      <w:r w:rsidRPr="00AD3D23">
        <w:rPr>
          <w:color w:val="000000"/>
          <w:shd w:val="clear" w:color="auto" w:fill="F9FBFF"/>
          <w:lang w:val="en-GB"/>
        </w:rPr>
        <w:t>We are looking for a dynamic, motivated and self-driven economist with a solid background in economics and experience in analysing macroeconomic, fiscal and/or financial issues, notably in the context of the Southern Neighbourhood countries. The successful candidate should have the following skills, which will be tested in the context of the selection:</w:t>
      </w:r>
    </w:p>
    <w:p w14:paraId="55CFDAD8" w14:textId="099BA161"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A strong background in macroeconomic analysis with an ability to formulate and synthesise economic arguments that are relevant to changing economic conditions and a very good understanding of links between economic policy and macroeconomic outcomes</w:t>
      </w:r>
      <w:r w:rsidR="005519E5">
        <w:rPr>
          <w:color w:val="000000"/>
          <w:shd w:val="clear" w:color="auto" w:fill="F9FBFF"/>
          <w:lang w:val="en-GB"/>
        </w:rPr>
        <w:t>.</w:t>
      </w:r>
    </w:p>
    <w:p w14:paraId="220B65AA" w14:textId="77777777"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A proven experience with developing or assessing macroeconomic and fiscal-structural policies.</w:t>
      </w:r>
    </w:p>
    <w:p w14:paraId="2A47F264" w14:textId="11567863"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Experience with macroeconomic and fiscal surveillance, forecasting and/or debt sustainability analysis would be an asset</w:t>
      </w:r>
      <w:r w:rsidR="005519E5">
        <w:rPr>
          <w:color w:val="000000"/>
          <w:shd w:val="clear" w:color="auto" w:fill="F9FBFF"/>
          <w:lang w:val="en-GB"/>
        </w:rPr>
        <w:t>.</w:t>
      </w:r>
    </w:p>
    <w:p w14:paraId="252AB2AF" w14:textId="77777777"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xml:space="preserve">- Familiarity with the economic and policy challenges of one or more Southern Neighbourhood countries, and capacity to design economic policies addressing them. Familiarity with the economic situation of Egypt would be an asset. </w:t>
      </w:r>
    </w:p>
    <w:p w14:paraId="72159A92" w14:textId="77777777" w:rsidR="001158AB"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A proven experience of working with national authorities and/or their representatives at EU level and with engaging with stakeholders from the economic and financial sphere. Experience with policy negotiations, design and implementation of structural reforms would be an asset.</w:t>
      </w:r>
    </w:p>
    <w:p w14:paraId="03BFF0B1" w14:textId="77777777"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Very good organisational and interpersonal relations skills. The unit’s work is demanding, and the successful candidate will need to work effectively and cooperatively under pressure and demonstrate flexibility, while maintaining a positive approach.</w:t>
      </w:r>
    </w:p>
    <w:p w14:paraId="75817982" w14:textId="020A6859" w:rsidR="001158AB" w:rsidRPr="00AD3D23" w:rsidRDefault="001158AB" w:rsidP="001518BF">
      <w:pPr>
        <w:pStyle w:val="BodyText"/>
        <w:spacing w:before="202"/>
        <w:ind w:left="220"/>
        <w:jc w:val="both"/>
        <w:rPr>
          <w:color w:val="000000"/>
          <w:shd w:val="clear" w:color="auto" w:fill="F9FBFF"/>
          <w:lang w:val="en-GB"/>
        </w:rPr>
      </w:pPr>
      <w:r w:rsidRPr="00AD3D23">
        <w:rPr>
          <w:color w:val="000000"/>
          <w:shd w:val="clear" w:color="auto" w:fill="F9FBFF"/>
          <w:lang w:val="en-GB"/>
        </w:rPr>
        <w:t>- The successful candidate will be able to work both independently and in teams. The tasks sometimes evolve dynamically and require a pro-active stance, resilience as well as a sense of creativity and innov</w:t>
      </w:r>
      <w:r w:rsidR="001518BF">
        <w:rPr>
          <w:color w:val="000000"/>
          <w:shd w:val="clear" w:color="auto" w:fill="F9FBFF"/>
          <w:lang w:val="en-GB"/>
        </w:rPr>
        <w:t>ative thinking.</w:t>
      </w:r>
    </w:p>
    <w:p w14:paraId="031F6DCF" w14:textId="1E2983BF" w:rsidR="001158AB" w:rsidRPr="001518BF" w:rsidRDefault="001158AB" w:rsidP="001518BF">
      <w:pPr>
        <w:pStyle w:val="BodyText"/>
        <w:spacing w:before="202"/>
        <w:ind w:left="220"/>
        <w:rPr>
          <w:color w:val="000000"/>
          <w:shd w:val="clear" w:color="auto" w:fill="F9FBFF"/>
          <w:lang w:val="en-GB"/>
        </w:rPr>
      </w:pPr>
      <w:r w:rsidRPr="001518BF">
        <w:rPr>
          <w:color w:val="000000"/>
          <w:shd w:val="clear" w:color="auto" w:fill="F9FBFF"/>
          <w:lang w:val="en-GB"/>
        </w:rPr>
        <w:lastRenderedPageBreak/>
        <w:t>- Very good communication and drafting skills in English</w:t>
      </w:r>
      <w:r w:rsidR="001518BF" w:rsidRPr="001518BF">
        <w:rPr>
          <w:color w:val="000000"/>
          <w:shd w:val="clear" w:color="auto" w:fill="F9FBFF"/>
          <w:lang w:val="en-GB"/>
        </w:rPr>
        <w:t>. Good knowledge of French is an asset.</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08DCE05D"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w:t>
      </w:r>
      <w:r w:rsidR="001158AB" w:rsidRPr="00AD3D23">
        <w:t xml:space="preserve">deadline to </w:t>
      </w:r>
      <w:hyperlink r:id="rId15" w:history="1">
        <w:r w:rsidR="001158AB" w:rsidRPr="003D4A16">
          <w:rPr>
            <w:rStyle w:val="Hyperlink"/>
          </w:rPr>
          <w:t>ECFIN-secretariat-D2@ec.europa.eu</w:t>
        </w:r>
      </w:hyperlink>
      <w:r w:rsidR="001158AB" w:rsidRPr="00AD3D23">
        <w:rPr>
          <w:color w:val="000000"/>
        </w:rPr>
        <w:t xml:space="preserve"> indicating</w:t>
      </w:r>
      <w:r w:rsidR="001158AB" w:rsidRPr="00FB0309">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the call for interest reference </w:t>
      </w:r>
      <w:r w:rsidR="001158AB" w:rsidRPr="004C2858">
        <w:rPr>
          <w:rFonts w:ascii="EC Square Sans Pro" w:hAnsi="EC Square Sans Pro"/>
        </w:rPr>
        <w:t>EC/2026/ECFIN</w:t>
      </w:r>
      <w:r w:rsidR="001158AB">
        <w:rPr>
          <w:rFonts w:ascii="EC Square Sans Pro" w:hAnsi="EC Square Sans Pro"/>
        </w:rPr>
        <w:t xml:space="preserve">/401816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1158AB">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1158AB">
        <w:rPr>
          <w:rFonts w:ascii="EC Square Sans Pro" w:hAnsi="EC Square Sans Pro" w:cstheme="minorHAnsi"/>
          <w:lang w:val="en-IE"/>
        </w:rPr>
        <w:t>and</w:t>
      </w:r>
      <w:r w:rsidRPr="001158AB">
        <w:rPr>
          <w:rFonts w:ascii="EC Square Sans Pro" w:hAnsi="EC Square Sans Pro" w:cstheme="minorHAnsi"/>
          <w:lang w:val="en-IE"/>
        </w:rPr>
        <w:t xml:space="preserve"> of the institution, the selection procedure will be carried out in English and possibly</w:t>
      </w:r>
      <w:r w:rsidRPr="00FB0309">
        <w:rPr>
          <w:rFonts w:ascii="EC Square Sans Pro" w:hAnsi="EC Square Sans Pro" w:cstheme="minorHAnsi"/>
          <w:lang w:val="en-IE"/>
        </w:rPr>
        <w:t xml:space="preserve">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1014F9A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2B0BADB6"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w:t>
      </w:r>
      <w:r w:rsidRPr="001158AB">
        <w:rPr>
          <w:rFonts w:ascii="EC Square Sans Pro" w:eastAsiaTheme="minorHAnsi" w:hAnsi="EC Square Sans Pro" w:cstheme="minorHAnsi"/>
          <w:b w:val="0"/>
          <w:bCs w:val="0"/>
          <w:sz w:val="22"/>
          <w:szCs w:val="22"/>
          <w:lang w:val="en-IE"/>
        </w:rPr>
        <w:t xml:space="preserve">be in </w:t>
      </w:r>
      <w:r w:rsidRPr="001158AB">
        <w:rPr>
          <w:rFonts w:ascii="EC Square Sans Pro" w:eastAsiaTheme="minorHAnsi" w:hAnsi="EC Square Sans Pro" w:cstheme="minorHAnsi"/>
          <w:bCs w:val="0"/>
          <w:sz w:val="22"/>
          <w:szCs w:val="22"/>
          <w:lang w:val="en-IE"/>
        </w:rPr>
        <w:t>Brussels</w:t>
      </w:r>
      <w:r w:rsidR="00AC76C5" w:rsidRPr="001158AB">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3BCAAA4A"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1158AB">
        <w:rPr>
          <w:rFonts w:ascii="EC Square Sans Pro" w:hAnsi="EC Square Sans Pro" w:cstheme="minorHAnsi"/>
          <w:b/>
          <w:lang w:val="en-IE"/>
        </w:rPr>
        <w:t xml:space="preserve">Article </w:t>
      </w:r>
      <w:r w:rsidR="000030E0" w:rsidRPr="001158AB">
        <w:rPr>
          <w:rFonts w:ascii="EC Square Sans Pro" w:hAnsi="EC Square Sans Pro" w:cstheme="minorHAnsi"/>
          <w:b/>
          <w:lang w:val="en-IE"/>
        </w:rPr>
        <w:t>3</w:t>
      </w:r>
      <w:r w:rsidR="00962B80" w:rsidRPr="001158AB">
        <w:rPr>
          <w:rFonts w:ascii="EC Square Sans Pro" w:hAnsi="EC Square Sans Pro" w:cstheme="minorHAnsi"/>
          <w:b/>
          <w:lang w:val="en-IE"/>
        </w:rPr>
        <w:t>(</w:t>
      </w:r>
      <w:r w:rsidR="000030E0" w:rsidRPr="001158AB">
        <w:rPr>
          <w:rFonts w:ascii="EC Square Sans Pro" w:hAnsi="EC Square Sans Pro" w:cstheme="minorHAnsi"/>
          <w:b/>
          <w:lang w:val="en-IE"/>
        </w:rPr>
        <w:t>b</w:t>
      </w:r>
      <w:r w:rsidR="00962B80" w:rsidRPr="001158AB">
        <w:rPr>
          <w:rFonts w:ascii="EC Square Sans Pro" w:hAnsi="EC Square Sans Pro" w:cstheme="minorHAnsi"/>
          <w:b/>
          <w:lang w:val="en-IE"/>
        </w:rPr>
        <w:t>) of the</w:t>
      </w:r>
      <w:r w:rsidR="00962B80" w:rsidRPr="00FB0309">
        <w:rPr>
          <w:rFonts w:ascii="EC Square Sans Pro" w:hAnsi="EC Square Sans Pro" w:cstheme="minorHAnsi"/>
          <w:b/>
          <w:lang w:val="en-IE"/>
        </w:rPr>
        <w:t xml:space="preserv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0234D4B3"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1158AB">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AE50" w14:textId="77777777" w:rsidR="00594DA2" w:rsidRDefault="00594DA2" w:rsidP="00B55593">
      <w:pPr>
        <w:spacing w:after="0" w:line="240" w:lineRule="auto"/>
      </w:pPr>
      <w:r>
        <w:separator/>
      </w:r>
    </w:p>
  </w:endnote>
  <w:endnote w:type="continuationSeparator" w:id="0">
    <w:p w14:paraId="14401E88" w14:textId="77777777" w:rsidR="00594DA2" w:rsidRDefault="00594DA2"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0ED" w14:textId="77777777" w:rsidR="001158AB" w:rsidRPr="00DA5518" w:rsidRDefault="001158AB" w:rsidP="001158AB">
    <w:pPr>
      <w:pStyle w:val="Footer"/>
      <w:jc w:val="center"/>
      <w:rPr>
        <w:rFonts w:ascii="EC Square Sans Pro" w:hAnsi="EC Square Sans Pro"/>
      </w:rPr>
    </w:pPr>
    <w:r w:rsidRPr="00DA5518">
      <w:rPr>
        <w:rFonts w:ascii="EC Square Sans Pro" w:hAnsi="EC Square Sans Pro"/>
      </w:rPr>
      <w:t xml:space="preserve">(Reference: Call for interest </w:t>
    </w:r>
    <w:bookmarkStart w:id="12" w:name="_Hlk223101655"/>
    <w:r w:rsidRPr="004C2858">
      <w:rPr>
        <w:rFonts w:ascii="EC Square Sans Pro" w:hAnsi="EC Square Sans Pro"/>
      </w:rPr>
      <w:t>EC/2026/ECFIN</w:t>
    </w:r>
    <w:r>
      <w:rPr>
        <w:rFonts w:ascii="EC Square Sans Pro" w:hAnsi="EC Square Sans Pro"/>
      </w:rPr>
      <w:t>/401816</w:t>
    </w:r>
    <w:bookmarkEnd w:id="12"/>
    <w:r w:rsidRPr="00DA5518">
      <w:rPr>
        <w:rFonts w:ascii="EC Square Sans Pro" w:hAnsi="EC Square Sans Pro"/>
      </w:rPr>
      <w:t>)</w:t>
    </w:r>
  </w:p>
  <w:p w14:paraId="1639CFC3" w14:textId="614D90ED" w:rsidR="003A4AFD" w:rsidRPr="001158AB" w:rsidRDefault="003A4AFD" w:rsidP="0011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F288" w14:textId="77777777" w:rsidR="00594DA2" w:rsidRDefault="00594DA2" w:rsidP="00B55593">
      <w:pPr>
        <w:spacing w:after="0" w:line="240" w:lineRule="auto"/>
      </w:pPr>
      <w:r>
        <w:separator/>
      </w:r>
    </w:p>
  </w:footnote>
  <w:footnote w:type="continuationSeparator" w:id="0">
    <w:p w14:paraId="10E2842D" w14:textId="77777777" w:rsidR="00594DA2" w:rsidRDefault="00594DA2"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1158AB">
        <w:rPr>
          <w:rFonts w:ascii="EC Square Sans Pro" w:hAnsi="EC Square Sans Pro" w:cstheme="minorHAnsi"/>
          <w:lang w:val="en-IE"/>
        </w:rPr>
        <w:t>Group [IV], should</w:t>
      </w:r>
      <w:r>
        <w:rPr>
          <w:rFonts w:ascii="EC Square Sans Pro" w:hAnsi="EC Square Sans Pro" w:cstheme="minorHAnsi"/>
          <w:lang w:val="en-IE"/>
        </w:rPr>
        <w:t xml:space="preserve">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GB" w:vendorID="64" w:dllVersion="0" w:nlCheck="1" w:checkStyle="0"/>
  <w:activeWritingStyle w:appName="MSWord" w:lang="en-I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3705"/>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1035E9"/>
    <w:rsid w:val="001103DC"/>
    <w:rsid w:val="001158AB"/>
    <w:rsid w:val="00121A22"/>
    <w:rsid w:val="001220CC"/>
    <w:rsid w:val="001241A7"/>
    <w:rsid w:val="00133043"/>
    <w:rsid w:val="00134939"/>
    <w:rsid w:val="00134D22"/>
    <w:rsid w:val="001362BA"/>
    <w:rsid w:val="001416E6"/>
    <w:rsid w:val="001437D7"/>
    <w:rsid w:val="00144EE0"/>
    <w:rsid w:val="00147330"/>
    <w:rsid w:val="001518BF"/>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7510D"/>
    <w:rsid w:val="00382EF3"/>
    <w:rsid w:val="003959A2"/>
    <w:rsid w:val="003A0FA7"/>
    <w:rsid w:val="003A0FAE"/>
    <w:rsid w:val="003A4AFD"/>
    <w:rsid w:val="003B1022"/>
    <w:rsid w:val="003B10AE"/>
    <w:rsid w:val="003B3BE0"/>
    <w:rsid w:val="003C4DA1"/>
    <w:rsid w:val="003C727E"/>
    <w:rsid w:val="003E58F5"/>
    <w:rsid w:val="003F451B"/>
    <w:rsid w:val="00400E0E"/>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430B"/>
    <w:rsid w:val="004E31DA"/>
    <w:rsid w:val="004E4BDB"/>
    <w:rsid w:val="004F1DBA"/>
    <w:rsid w:val="004F5444"/>
    <w:rsid w:val="004F6FFB"/>
    <w:rsid w:val="004F71C5"/>
    <w:rsid w:val="00502274"/>
    <w:rsid w:val="00502C68"/>
    <w:rsid w:val="00502CFA"/>
    <w:rsid w:val="00516ED4"/>
    <w:rsid w:val="00520E87"/>
    <w:rsid w:val="0053602C"/>
    <w:rsid w:val="00536830"/>
    <w:rsid w:val="00537601"/>
    <w:rsid w:val="00537BA7"/>
    <w:rsid w:val="00544FB5"/>
    <w:rsid w:val="00546208"/>
    <w:rsid w:val="005470CD"/>
    <w:rsid w:val="00550645"/>
    <w:rsid w:val="005519E5"/>
    <w:rsid w:val="00560678"/>
    <w:rsid w:val="00561440"/>
    <w:rsid w:val="00561910"/>
    <w:rsid w:val="00563B94"/>
    <w:rsid w:val="00566C21"/>
    <w:rsid w:val="00571E30"/>
    <w:rsid w:val="00573C48"/>
    <w:rsid w:val="005851E1"/>
    <w:rsid w:val="00594DA2"/>
    <w:rsid w:val="00597BFE"/>
    <w:rsid w:val="005A4AFC"/>
    <w:rsid w:val="005A4C95"/>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4A30"/>
    <w:rsid w:val="00636CCE"/>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1D1C"/>
    <w:rsid w:val="00777340"/>
    <w:rsid w:val="0078029F"/>
    <w:rsid w:val="00784DE0"/>
    <w:rsid w:val="00786216"/>
    <w:rsid w:val="007874C9"/>
    <w:rsid w:val="007938EA"/>
    <w:rsid w:val="007A699F"/>
    <w:rsid w:val="007B1BFC"/>
    <w:rsid w:val="007B4874"/>
    <w:rsid w:val="007B7601"/>
    <w:rsid w:val="007C1778"/>
    <w:rsid w:val="007C7D7B"/>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330F"/>
    <w:rsid w:val="008948D1"/>
    <w:rsid w:val="00895EAE"/>
    <w:rsid w:val="008B1150"/>
    <w:rsid w:val="008B7C6C"/>
    <w:rsid w:val="008C4B77"/>
    <w:rsid w:val="008C638F"/>
    <w:rsid w:val="008C7A46"/>
    <w:rsid w:val="008D1ACB"/>
    <w:rsid w:val="008D3A2C"/>
    <w:rsid w:val="008D6CE7"/>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7391C"/>
    <w:rsid w:val="009823C1"/>
    <w:rsid w:val="00982BDE"/>
    <w:rsid w:val="009931DF"/>
    <w:rsid w:val="009970AD"/>
    <w:rsid w:val="009B1A12"/>
    <w:rsid w:val="009C0A52"/>
    <w:rsid w:val="009C3025"/>
    <w:rsid w:val="009C5204"/>
    <w:rsid w:val="009C67C7"/>
    <w:rsid w:val="009D4007"/>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54FB"/>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8517B"/>
    <w:rsid w:val="00CA20A2"/>
    <w:rsid w:val="00CB76EF"/>
    <w:rsid w:val="00CC0583"/>
    <w:rsid w:val="00CE0606"/>
    <w:rsid w:val="00CF0DF4"/>
    <w:rsid w:val="00CF2BF1"/>
    <w:rsid w:val="00D23CA4"/>
    <w:rsid w:val="00D271F8"/>
    <w:rsid w:val="00D37644"/>
    <w:rsid w:val="00D50C6B"/>
    <w:rsid w:val="00D5567C"/>
    <w:rsid w:val="00D5620C"/>
    <w:rsid w:val="00D62677"/>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22170"/>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96461"/>
    <w:rsid w:val="00EA0901"/>
    <w:rsid w:val="00EA1C6B"/>
    <w:rsid w:val="00EC1E58"/>
    <w:rsid w:val="00EE1ECE"/>
    <w:rsid w:val="00EE64C2"/>
    <w:rsid w:val="00EF53EF"/>
    <w:rsid w:val="00F04A98"/>
    <w:rsid w:val="00F061B1"/>
    <w:rsid w:val="00F067EB"/>
    <w:rsid w:val="00F218A0"/>
    <w:rsid w:val="00F41621"/>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158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character" w:customStyle="1" w:styleId="Heading3Char">
    <w:name w:val="Heading 3 Char"/>
    <w:basedOn w:val="DefaultParagraphFont"/>
    <w:link w:val="Heading3"/>
    <w:uiPriority w:val="9"/>
    <w:semiHidden/>
    <w:rsid w:val="001158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u-careers.europa.eu/en/contract-staff"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areers.europa.eu/en/staff-categories/temporary-staf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CFIN-secretariat-D2@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Rules</Value>
    </DocType>
    <Topic xmlns="cde6829c-6380-4a43-af1c-8c5bc4b497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0E7DB6E6-4ACF-4704-A21D-630812AA1167}">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sharepoint/v3"/>
    <ds:schemaRef ds:uri="http://purl.org/dc/dcmitype/"/>
    <ds:schemaRef ds:uri="013aa35d-30e5-41d1-9a7b-1c862c539650"/>
    <ds:schemaRef ds:uri="cde6829c-6380-4a43-af1c-8c5bc4b497f1"/>
    <ds:schemaRef ds:uri="http://purl.org/dc/terms/"/>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FF73BB1E-4165-46E6-80AF-D5D9CF7D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9</Pages>
  <Words>2134</Words>
  <Characters>12037</Characters>
  <Application>Microsoft Office Word</Application>
  <DocSecurity>0</DocSecurity>
  <Lines>250</Lines>
  <Paragraphs>111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GABUR Vasilica (HR)</cp:lastModifiedBy>
  <cp:revision>10</cp:revision>
  <cp:lastPrinted>2023-10-05T14:14:00Z</cp:lastPrinted>
  <dcterms:created xsi:type="dcterms:W3CDTF">2026-02-27T15:40:00Z</dcterms:created>
  <dcterms:modified xsi:type="dcterms:W3CDTF">2026-03-04T16:24:00Z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