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6518EB"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6518EB"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7384522F" w14:textId="2768629B" w:rsidR="009E18FA" w:rsidRPr="005C6A2E" w:rsidRDefault="00A50510" w:rsidP="005C6A2E">
      <w:pPr>
        <w:spacing w:after="160" w:line="259" w:lineRule="auto"/>
        <w:jc w:val="center"/>
        <w:rPr>
          <w:rFonts w:ascii="EC Square Sans Pro" w:hAnsi="EC Square Sans Pro"/>
          <w:b/>
          <w:bCs/>
          <w:sz w:val="48"/>
          <w:szCs w:val="48"/>
          <w:lang w:val="en-IE"/>
        </w:rPr>
      </w:pPr>
      <w:r w:rsidRPr="002619D1">
        <w:rPr>
          <w:rFonts w:cstheme="minorHAnsi"/>
          <w:lang w:val="en-IE"/>
        </w:rPr>
        <w:br w:type="page"/>
      </w:r>
      <w:bookmarkStart w:id="4" w:name="_Hlk201139835"/>
      <w:r w:rsidR="005C6A2E" w:rsidRPr="005C6A2E">
        <w:rPr>
          <w:rFonts w:ascii="EC Square Sans Pro" w:hAnsi="EC Square Sans Pro"/>
          <w:b/>
          <w:bCs/>
          <w:sz w:val="48"/>
          <w:szCs w:val="48"/>
          <w:lang w:val="en-IE"/>
        </w:rPr>
        <w:lastRenderedPageBreak/>
        <w:t>Business Analyst - Business Analysis Reporting</w:t>
      </w:r>
      <w:bookmarkEnd w:id="4"/>
    </w:p>
    <w:p w14:paraId="3651D175" w14:textId="782C27BD" w:rsidR="00A50510" w:rsidRPr="005C6A2E" w:rsidRDefault="001E6576" w:rsidP="001E6576">
      <w:pPr>
        <w:spacing w:after="0"/>
        <w:jc w:val="center"/>
        <w:rPr>
          <w:rFonts w:ascii="EC Square Sans Pro" w:hAnsi="EC Square Sans Pro"/>
          <w:b/>
          <w:bCs/>
          <w:sz w:val="32"/>
          <w:szCs w:val="32"/>
          <w:lang w:val="en-IE"/>
        </w:rPr>
      </w:pPr>
      <w:r w:rsidRPr="005C6A2E">
        <w:rPr>
          <w:rFonts w:ascii="EC Square Sans Pro" w:hAnsi="EC Square Sans Pro"/>
          <w:b/>
          <w:bCs/>
          <w:sz w:val="32"/>
          <w:szCs w:val="32"/>
          <w:lang w:val="en-IE"/>
        </w:rPr>
        <w:t xml:space="preserve">in </w:t>
      </w:r>
      <w:r w:rsidR="00A50510" w:rsidRPr="005C6A2E">
        <w:rPr>
          <w:rFonts w:ascii="EC Square Sans Pro" w:hAnsi="EC Square Sans Pro"/>
          <w:b/>
          <w:bCs/>
          <w:sz w:val="32"/>
          <w:szCs w:val="32"/>
          <w:lang w:val="en-IE"/>
        </w:rPr>
        <w:t xml:space="preserve">DG </w:t>
      </w:r>
      <w:r w:rsidR="005C6A2E" w:rsidRPr="005C6A2E">
        <w:rPr>
          <w:rFonts w:ascii="EC Square Sans Pro" w:hAnsi="EC Square Sans Pro"/>
          <w:b/>
          <w:bCs/>
          <w:sz w:val="32"/>
          <w:szCs w:val="32"/>
          <w:lang w:val="en-IE"/>
        </w:rPr>
        <w:t>BUDG</w:t>
      </w:r>
      <w:r w:rsidR="00A50510" w:rsidRPr="005C6A2E">
        <w:rPr>
          <w:rFonts w:ascii="EC Square Sans Pro" w:hAnsi="EC Square Sans Pro"/>
          <w:b/>
          <w:bCs/>
          <w:sz w:val="32"/>
          <w:szCs w:val="32"/>
          <w:lang w:val="en-IE"/>
        </w:rPr>
        <w:t xml:space="preserve">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0996BC06"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5C6A2E" w:rsidRPr="00002558">
        <w:rPr>
          <w:rFonts w:ascii="EC Square Sans Pro" w:hAnsi="EC Square Sans Pro"/>
          <w:lang w:val="en-IE"/>
        </w:rPr>
        <w:t>Business Analyst - Business Analysis Reporting</w:t>
      </w:r>
    </w:p>
    <w:p w14:paraId="49B6E3CC" w14:textId="372A8747" w:rsidR="009823C1" w:rsidRDefault="009823C1" w:rsidP="00433FF6">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Domain</w:t>
      </w:r>
      <w:r w:rsidR="005C6A2E">
        <w:rPr>
          <w:rFonts w:ascii="EC Square Sans Pro" w:hAnsi="EC Square Sans Pro" w:cstheme="minorHAnsi"/>
          <w:b/>
          <w:sz w:val="20"/>
          <w:szCs w:val="20"/>
          <w:lang w:val="en-IE"/>
        </w:rPr>
        <w:t xml:space="preserve">: </w:t>
      </w:r>
      <w:r w:rsidR="009B31C2">
        <w:rPr>
          <w:rFonts w:ascii="EC Square Sans Pro" w:hAnsi="EC Square Sans Pro" w:cstheme="minorHAnsi"/>
          <w:bCs/>
          <w:sz w:val="20"/>
          <w:szCs w:val="20"/>
          <w:lang w:val="en-IE"/>
        </w:rPr>
        <w:t>Economics, Finance and Statistics</w:t>
      </w:r>
    </w:p>
    <w:p w14:paraId="084DD6AA" w14:textId="56F7D050" w:rsidR="001E6576" w:rsidRPr="00FB0309" w:rsidRDefault="001E6576" w:rsidP="6EB2B6F1">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w:t>
      </w:r>
      <w:r w:rsidR="00A44B1E">
        <w:rPr>
          <w:rFonts w:ascii="EC Square Sans Pro" w:hAnsi="EC Square Sans Pro"/>
          <w:sz w:val="20"/>
          <w:szCs w:val="20"/>
        </w:rPr>
        <w:t xml:space="preserve">UNIT </w:t>
      </w:r>
      <w:r w:rsidR="00A44B1E" w:rsidRPr="00A44B1E">
        <w:rPr>
          <w:rFonts w:ascii="EC Square Sans Pro" w:hAnsi="EC Square Sans Pro"/>
          <w:sz w:val="20"/>
          <w:szCs w:val="20"/>
        </w:rPr>
        <w:t xml:space="preserve">BUDG.D4 – “Financial Reporting and Data </w:t>
      </w:r>
      <w:proofErr w:type="gramStart"/>
      <w:r w:rsidR="00A44B1E" w:rsidRPr="00A44B1E">
        <w:rPr>
          <w:rFonts w:ascii="EC Square Sans Pro" w:hAnsi="EC Square Sans Pro"/>
          <w:sz w:val="20"/>
          <w:szCs w:val="20"/>
        </w:rPr>
        <w:t>Management“</w:t>
      </w:r>
      <w:proofErr w:type="gramEnd"/>
      <w:r w:rsidR="00A44B1E" w:rsidRPr="00A44B1E">
        <w:rPr>
          <w:rFonts w:ascii="EC Square Sans Pro" w:hAnsi="EC Square Sans Pro"/>
          <w:sz w:val="20"/>
          <w:szCs w:val="20"/>
        </w:rPr>
        <w:t>, Brussels</w:t>
      </w:r>
    </w:p>
    <w:p w14:paraId="2D30EB29" w14:textId="77777777" w:rsidR="009C5204" w:rsidRPr="00A44B1E" w:rsidRDefault="002E3596" w:rsidP="00433FF6">
      <w:pPr>
        <w:tabs>
          <w:tab w:val="left" w:pos="2580"/>
        </w:tabs>
        <w:spacing w:after="0"/>
        <w:jc w:val="both"/>
        <w:rPr>
          <w:rFonts w:ascii="EC Square Sans Pro" w:hAnsi="EC Square Sans Pro" w:cstheme="minorHAnsi"/>
          <w:sz w:val="20"/>
          <w:szCs w:val="20"/>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B519B4" w:rsidRPr="00A44B1E">
        <w:rPr>
          <w:rFonts w:ascii="EC Square Sans Pro" w:hAnsi="EC Square Sans Pro" w:cstheme="minorHAnsi"/>
          <w:sz w:val="20"/>
          <w:szCs w:val="20"/>
          <w:lang w:val="en-IE"/>
        </w:rPr>
        <w:t>FG IV</w:t>
      </w:r>
    </w:p>
    <w:p w14:paraId="48BA4E99" w14:textId="762F6E4B"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A44B1E">
        <w:rPr>
          <w:rFonts w:ascii="EC Square Sans Pro" w:hAnsi="EC Square Sans Pro" w:cstheme="minorHAnsi"/>
          <w:sz w:val="20"/>
          <w:szCs w:val="20"/>
          <w:lang w:val="en-IE"/>
        </w:rPr>
        <w:t>3b</w:t>
      </w:r>
    </w:p>
    <w:p w14:paraId="2E662118" w14:textId="5E471839" w:rsidR="009C3025" w:rsidRPr="00FB0309" w:rsidRDefault="00E27E03" w:rsidP="5AAE5636">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5" w:name="_Hlk93054270"/>
      <w:r w:rsidR="00171581">
        <w:rPr>
          <w:rFonts w:ascii="EC Square Sans Pro" w:hAnsi="EC Square Sans Pro"/>
          <w:sz w:val="20"/>
          <w:szCs w:val="20"/>
          <w:lang w:val="en-IE"/>
        </w:rPr>
        <w:t>18/07/2025</w:t>
      </w:r>
      <w:r w:rsidR="00DE3C43" w:rsidRPr="5AAE5636">
        <w:rPr>
          <w:rFonts w:ascii="EC Square Sans Pro" w:hAnsi="EC Square Sans Pro"/>
          <w:sz w:val="20"/>
          <w:szCs w:val="20"/>
          <w:lang w:val="en-IE"/>
        </w:rPr>
        <w:t xml:space="preserve"> -</w:t>
      </w:r>
      <w:r w:rsidR="009C3025" w:rsidRPr="5AAE5636">
        <w:rPr>
          <w:rFonts w:ascii="EC Square Sans Pro" w:hAnsi="EC Square Sans Pro"/>
          <w:sz w:val="20"/>
          <w:szCs w:val="20"/>
          <w:lang w:val="en-IE"/>
        </w:rPr>
        <w:t xml:space="preserve"> 1</w:t>
      </w:r>
      <w:r w:rsidR="00A00510">
        <w:rPr>
          <w:rFonts w:ascii="EC Square Sans Pro" w:hAnsi="EC Square Sans Pro"/>
          <w:sz w:val="20"/>
          <w:szCs w:val="20"/>
          <w:lang w:val="en-IE"/>
        </w:rPr>
        <w:t>8</w:t>
      </w:r>
      <w:r w:rsidR="009C3025" w:rsidRPr="5AAE5636">
        <w:rPr>
          <w:rFonts w:ascii="EC Square Sans Pro" w:hAnsi="EC Square Sans Pro"/>
          <w:sz w:val="20"/>
          <w:szCs w:val="20"/>
          <w:lang w:val="en-IE"/>
        </w:rPr>
        <w:t xml:space="preserve">.00 </w:t>
      </w:r>
      <w:r w:rsidR="00DE3C43" w:rsidRPr="5AAE5636">
        <w:rPr>
          <w:rFonts w:ascii="EC Square Sans Pro" w:hAnsi="EC Square Sans Pro"/>
          <w:sz w:val="20"/>
          <w:szCs w:val="20"/>
          <w:lang w:val="en-IE"/>
        </w:rPr>
        <w:t>(</w:t>
      </w:r>
      <w:r w:rsidR="009C3025" w:rsidRPr="5AAE5636">
        <w:rPr>
          <w:rFonts w:ascii="EC Square Sans Pro" w:hAnsi="EC Square Sans Pro"/>
          <w:sz w:val="20"/>
          <w:szCs w:val="20"/>
          <w:lang w:val="en-IE"/>
        </w:rPr>
        <w:t>Brussels time</w:t>
      </w:r>
      <w:r w:rsidR="00DE3C43" w:rsidRPr="5AAE5636">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597"/>
      <w:bookmarkEnd w:id="5"/>
      <w:r w:rsidRPr="005470CD">
        <w:rPr>
          <w:rFonts w:ascii="EC Square Sans Pro" w:hAnsi="EC Square Sans Pro" w:cs="Arial"/>
          <w:b/>
        </w:rPr>
        <w:t>WE ARE</w:t>
      </w:r>
    </w:p>
    <w:bookmarkEnd w:id="6"/>
    <w:p w14:paraId="35492F63" w14:textId="6BA5CE9C" w:rsidR="00302366" w:rsidRPr="00302366" w:rsidRDefault="00302366" w:rsidP="00302366">
      <w:pPr>
        <w:pStyle w:val="Heading1"/>
        <w:ind w:left="0"/>
        <w:jc w:val="both"/>
        <w:rPr>
          <w:rFonts w:ascii="EC Square Sans Pro" w:hAnsi="EC Square Sans Pro" w:cstheme="minorBidi"/>
          <w:b w:val="0"/>
          <w:bCs w:val="0"/>
          <w:color w:val="000000"/>
          <w:sz w:val="22"/>
          <w:szCs w:val="22"/>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 xml:space="preserve">The Directorate-General for Budget (DG BUDG) is the central service of the European Commission in charge of the management of the EU budget throughout the annual and multiannual </w:t>
      </w:r>
      <w:proofErr w:type="gramStart"/>
      <w:r w:rsidRPr="00302366">
        <w:rPr>
          <w:rFonts w:ascii="EC Square Sans Pro" w:hAnsi="EC Square Sans Pro" w:cstheme="minorBidi"/>
          <w:b w:val="0"/>
          <w:bCs w:val="0"/>
          <w:color w:val="000000"/>
          <w:sz w:val="22"/>
          <w:szCs w:val="22"/>
          <w:shd w:val="clear" w:color="auto" w:fill="FAFCFF"/>
          <w:lang w:val="en-IE"/>
        </w:rPr>
        <w:t>cycle;</w:t>
      </w:r>
      <w:proofErr w:type="gramEnd"/>
      <w:r w:rsidRPr="00302366">
        <w:rPr>
          <w:rFonts w:ascii="EC Square Sans Pro" w:hAnsi="EC Square Sans Pro" w:cstheme="minorBidi"/>
          <w:b w:val="0"/>
          <w:bCs w:val="0"/>
          <w:color w:val="000000"/>
          <w:sz w:val="22"/>
          <w:szCs w:val="22"/>
          <w:shd w:val="clear" w:color="auto" w:fill="FAFCFF"/>
          <w:lang w:val="en-IE"/>
        </w:rPr>
        <w:t xml:space="preserve"> from the preparation of the draft budget and Multiannual Financial Framework to its implementation and the final discharge by the European Parliament. DG BUDG is also responsible for the legal framework applicable to the implementation of the EU budget by the different institutions, agencies and Member States, and it plays a key role in promoting sound financial management and a performance culture that focuses on maximizing the results of public expenditure on the ground.</w:t>
      </w:r>
    </w:p>
    <w:p w14:paraId="7D913F32" w14:textId="77777777" w:rsidR="00302366" w:rsidRPr="00302366" w:rsidRDefault="00302366" w:rsidP="00302366">
      <w:pPr>
        <w:pStyle w:val="Heading1"/>
        <w:spacing w:before="240"/>
        <w:ind w:left="0"/>
        <w:jc w:val="both"/>
        <w:rPr>
          <w:rFonts w:ascii="EC Square Sans Pro" w:hAnsi="EC Square Sans Pro" w:cstheme="minorBidi"/>
          <w:b w:val="0"/>
          <w:bCs w:val="0"/>
          <w:color w:val="000000"/>
          <w:sz w:val="22"/>
          <w:szCs w:val="22"/>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The Unit BUDG.D.4 "Financial Reporting" is the central reporting unit of the DG Budget, responsible for preparing reports required by the Financial Regulation and the Budget Authority, as well as management reports and other ad-hoc reports for internal and external stakeholders. It is also responsible for developing corporate financial reporting tools.</w:t>
      </w:r>
    </w:p>
    <w:p w14:paraId="50D0D941" w14:textId="77777777" w:rsidR="00302366" w:rsidRPr="00302366" w:rsidRDefault="00302366" w:rsidP="00302366">
      <w:pPr>
        <w:pStyle w:val="Heading1"/>
        <w:spacing w:before="240"/>
        <w:ind w:left="0"/>
        <w:jc w:val="both"/>
        <w:rPr>
          <w:rFonts w:ascii="EC Square Sans Pro" w:hAnsi="EC Square Sans Pro" w:cstheme="minorBidi"/>
          <w:b w:val="0"/>
          <w:bCs w:val="0"/>
          <w:color w:val="000000"/>
          <w:sz w:val="22"/>
          <w:szCs w:val="22"/>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This unit manages the Central ABAC/SUMMA Data Warehouse, provides technical support and guidance for reporting requests, and ensures the quality of data. As the Business Process Owner/Expert for analytics, data migration, budget framework, and master data governance, the unit continues implementing a new financial system, SUMMA, for the European Commission and other EU bodies. This project provides a more robust, efficient, and effective financial system.</w:t>
      </w:r>
    </w:p>
    <w:p w14:paraId="5ACF2E93" w14:textId="77777777" w:rsidR="00302366" w:rsidRPr="00302366" w:rsidRDefault="00302366" w:rsidP="00302366">
      <w:pPr>
        <w:pStyle w:val="Heading1"/>
        <w:spacing w:before="240"/>
        <w:ind w:left="0"/>
        <w:jc w:val="both"/>
        <w:rPr>
          <w:rFonts w:ascii="EC Square Sans Pro" w:hAnsi="EC Square Sans Pro" w:cstheme="minorBidi"/>
          <w:b w:val="0"/>
          <w:bCs w:val="0"/>
          <w:color w:val="000000"/>
          <w:sz w:val="22"/>
          <w:szCs w:val="22"/>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The financial reporting unit is undergoing a modernisation process, which includes improving data visualisation, supporting data-driven decision making, reinforcing its corporate financial reporting role, and ensuring data quality and governance. This modernisation will result in the unit becoming the centre of competence for financial reporting for the European Commission and its agencies.</w:t>
      </w:r>
    </w:p>
    <w:p w14:paraId="39FC5DD9" w14:textId="77777777" w:rsidR="00302366" w:rsidRPr="00302366" w:rsidRDefault="00302366" w:rsidP="00302366">
      <w:pPr>
        <w:pStyle w:val="Heading1"/>
        <w:spacing w:before="240"/>
        <w:ind w:left="0"/>
        <w:jc w:val="both"/>
        <w:rPr>
          <w:rFonts w:ascii="EC Square Sans Pro" w:hAnsi="EC Square Sans Pro" w:cstheme="minorBidi"/>
          <w:b w:val="0"/>
          <w:bCs w:val="0"/>
          <w:color w:val="000000"/>
          <w:sz w:val="22"/>
          <w:szCs w:val="22"/>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Our unit operates on a matrix-based structure and works collaboratively across teams. We are a friendly, dynamic, and supportive team of 23 colleagues located in Brussels</w:t>
      </w:r>
    </w:p>
    <w:p w14:paraId="0B650480" w14:textId="39708EA8" w:rsidR="00934DE9" w:rsidRDefault="00302366" w:rsidP="00302366">
      <w:pPr>
        <w:pStyle w:val="Heading1"/>
        <w:spacing w:before="240"/>
        <w:ind w:left="0"/>
        <w:jc w:val="both"/>
        <w:rPr>
          <w:shd w:val="clear" w:color="auto" w:fill="FAFCFF"/>
          <w:lang w:val="en-IE"/>
        </w:rPr>
      </w:pPr>
      <w:r w:rsidRPr="00302366">
        <w:rPr>
          <w:rFonts w:ascii="EC Square Sans Pro" w:hAnsi="EC Square Sans Pro" w:cstheme="minorBidi"/>
          <w:b w:val="0"/>
          <w:bCs w:val="0"/>
          <w:color w:val="000000"/>
          <w:sz w:val="22"/>
          <w:szCs w:val="22"/>
          <w:shd w:val="clear" w:color="auto" w:fill="FAFCFF"/>
          <w:lang w:val="en-IE"/>
        </w:rPr>
        <w:t xml:space="preserve">Following the 2023 staff survey and Commission-wide awards, DG BUDG is recognised for its staff engagement, quality of its Middle Management and greening efforts. Ensuring staff engagement remains high on our agenda, which is why we are keen to provide support for career development, </w:t>
      </w:r>
      <w:r w:rsidRPr="00302366">
        <w:rPr>
          <w:rFonts w:ascii="EC Square Sans Pro" w:hAnsi="EC Square Sans Pro" w:cstheme="minorBidi"/>
          <w:b w:val="0"/>
          <w:bCs w:val="0"/>
          <w:color w:val="000000"/>
          <w:sz w:val="22"/>
          <w:szCs w:val="22"/>
          <w:shd w:val="clear" w:color="auto" w:fill="FAFCFF"/>
          <w:lang w:val="en-IE"/>
        </w:rPr>
        <w:lastRenderedPageBreak/>
        <w:t>specialised training and ensure smooth newcomers’ integration</w:t>
      </w:r>
      <w:r w:rsidR="00D37644" w:rsidRPr="0107038A">
        <w:rPr>
          <w:rFonts w:ascii="EC Square Sans Pro" w:hAnsi="EC Square Sans Pro" w:cstheme="minorBidi"/>
          <w:b w:val="0"/>
          <w:bCs w:val="0"/>
          <w:color w:val="000000"/>
          <w:sz w:val="22"/>
          <w:szCs w:val="22"/>
          <w:shd w:val="clear" w:color="auto" w:fill="FAFCFF"/>
          <w:lang w:val="en-IE"/>
        </w:rPr>
        <w:t>;</w:t>
      </w:r>
      <w:r w:rsidR="71169956" w:rsidRPr="0107038A">
        <w:rPr>
          <w:rFonts w:ascii="Calibri" w:eastAsia="Calibri" w:hAnsi="Calibri" w:cs="Calibri"/>
          <w:i/>
          <w:iCs/>
          <w:sz w:val="22"/>
          <w:szCs w:val="22"/>
          <w:lang w:val="en-IE"/>
        </w:rPr>
        <w:t xml:space="preserve"> </w:t>
      </w:r>
      <w:r w:rsidR="71169956" w:rsidRPr="00302366">
        <w:rPr>
          <w:rFonts w:ascii="Calibri" w:eastAsia="Calibri" w:hAnsi="Calibri" w:cs="Calibri"/>
          <w:b w:val="0"/>
          <w:bCs w:val="0"/>
          <w:sz w:val="22"/>
          <w:szCs w:val="22"/>
          <w:lang w:val="en-IE"/>
        </w:rPr>
        <w:t xml:space="preserve">DG BUDG is committed to offer equal opportunities, foster a rich, diverse an </w:t>
      </w:r>
      <w:r w:rsidRPr="00302366">
        <w:rPr>
          <w:rFonts w:ascii="Calibri" w:eastAsia="Calibri" w:hAnsi="Calibri" w:cs="Calibri"/>
          <w:b w:val="0"/>
          <w:bCs w:val="0"/>
          <w:sz w:val="22"/>
          <w:szCs w:val="22"/>
          <w:lang w:val="en-IE"/>
        </w:rPr>
        <w:t>equal and</w:t>
      </w:r>
      <w:r w:rsidR="71169956" w:rsidRPr="00302366">
        <w:rPr>
          <w:rFonts w:ascii="Calibri" w:eastAsia="Calibri" w:hAnsi="Calibri" w:cs="Calibri"/>
          <w:b w:val="0"/>
          <w:bCs w:val="0"/>
          <w:sz w:val="22"/>
          <w:szCs w:val="22"/>
          <w:lang w:val="en-IE"/>
        </w:rPr>
        <w:t xml:space="preserve"> inclusive working environment</w:t>
      </w:r>
      <w:r w:rsidR="71169956" w:rsidRPr="0107038A">
        <w:rPr>
          <w:rFonts w:ascii="Calibri" w:eastAsia="Calibri" w:hAnsi="Calibri" w:cs="Calibri"/>
          <w:i/>
          <w:iCs/>
          <w:sz w:val="22"/>
          <w:szCs w:val="22"/>
          <w:lang w:val="en-IE"/>
        </w:rPr>
        <w:t>.</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6256FDE9" w14:textId="61741687" w:rsidR="00A1148F" w:rsidRPr="00A1148F" w:rsidRDefault="00A1148F" w:rsidP="00A1148F">
      <w:pPr>
        <w:pStyle w:val="Heading1"/>
        <w:numPr>
          <w:ilvl w:val="0"/>
          <w:numId w:val="17"/>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Manage the publication and transformation of the Financial Transparency System (FTS)</w:t>
      </w:r>
    </w:p>
    <w:p w14:paraId="3E57B2E1" w14:textId="77777777" w:rsidR="00A1148F" w:rsidRPr="00A1148F" w:rsidRDefault="00A1148F" w:rsidP="00A1148F">
      <w:pPr>
        <w:pStyle w:val="Heading1"/>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 xml:space="preserve">The financial transparency system is a public database, published on Europa, providing information on beneficiaries from EU-funding managed directly by the Commission. This database will expand as in the future, it will also contain beneficiaries from EU-funding managed in the Member states. </w:t>
      </w:r>
    </w:p>
    <w:p w14:paraId="374FB90D" w14:textId="77777777" w:rsidR="00A1148F" w:rsidRDefault="00A1148F" w:rsidP="00A1148F">
      <w:pPr>
        <w:pStyle w:val="Heading1"/>
        <w:numPr>
          <w:ilvl w:val="0"/>
          <w:numId w:val="18"/>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Implement the extension of the current database to its future target</w:t>
      </w:r>
    </w:p>
    <w:p w14:paraId="79750888" w14:textId="77777777" w:rsidR="00A1148F" w:rsidRDefault="00A1148F" w:rsidP="00A1148F">
      <w:pPr>
        <w:pStyle w:val="Heading1"/>
        <w:numPr>
          <w:ilvl w:val="0"/>
          <w:numId w:val="18"/>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Accompany the data gathering and preparation process to obtain high quality data for publication on the FTS.</w:t>
      </w:r>
    </w:p>
    <w:p w14:paraId="48170D9F" w14:textId="22999850" w:rsidR="00A1148F" w:rsidRPr="00A1148F" w:rsidRDefault="00A1148F" w:rsidP="00A1148F">
      <w:pPr>
        <w:pStyle w:val="Heading1"/>
        <w:numPr>
          <w:ilvl w:val="0"/>
          <w:numId w:val="18"/>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Convert the current FTS to display data from the new financial system SUMMA</w:t>
      </w:r>
    </w:p>
    <w:p w14:paraId="37726780" w14:textId="7290680E" w:rsidR="00A1148F" w:rsidRPr="00A1148F" w:rsidRDefault="00A1148F" w:rsidP="00A1148F">
      <w:pPr>
        <w:pStyle w:val="Heading1"/>
        <w:numPr>
          <w:ilvl w:val="0"/>
          <w:numId w:val="17"/>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Implement the SUMMA Master Data Management Strategy</w:t>
      </w:r>
    </w:p>
    <w:p w14:paraId="3AF97211" w14:textId="22B5A29E" w:rsidR="00A1148F" w:rsidRPr="00A1148F"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Collaborate with different DGs and Agencies to understand their financial reporting needs, transforming these needs into specific data requirements, and subsequently analyse and interpret the data to offer insights that facilitate operational and strategic choices.</w:t>
      </w:r>
    </w:p>
    <w:p w14:paraId="0E99C47B" w14:textId="324C7AD0" w:rsidR="00A1148F" w:rsidRPr="00A1148F" w:rsidRDefault="00A1148F" w:rsidP="00A1148F">
      <w:pPr>
        <w:pStyle w:val="Heading1"/>
        <w:numPr>
          <w:ilvl w:val="0"/>
          <w:numId w:val="17"/>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Provide Reporting products</w:t>
      </w:r>
    </w:p>
    <w:p w14:paraId="4BCC20DA" w14:textId="15527711" w:rsidR="00A1148F" w:rsidRPr="00A1148F"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Supervise the development of new reports and dashboards, as well as supporting the transition of existing reporting solutions to the new central financial system, SUMMA.</w:t>
      </w:r>
    </w:p>
    <w:p w14:paraId="71152C73" w14:textId="711F2CE1" w:rsidR="00A1148F" w:rsidRPr="00A1148F"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 xml:space="preserve">Keep </w:t>
      </w:r>
      <w:proofErr w:type="gramStart"/>
      <w:r w:rsidRPr="00A1148F">
        <w:rPr>
          <w:rFonts w:ascii="EC Square Sans Pro" w:hAnsi="EC Square Sans Pro" w:cstheme="minorHAnsi"/>
          <w:b w:val="0"/>
          <w:bCs w:val="0"/>
          <w:color w:val="000000"/>
          <w:sz w:val="22"/>
          <w:szCs w:val="22"/>
          <w:shd w:val="clear" w:color="auto" w:fill="FAFCFF"/>
          <w:lang w:val="en-IE"/>
        </w:rPr>
        <w:t>up-to-date</w:t>
      </w:r>
      <w:proofErr w:type="gramEnd"/>
      <w:r w:rsidRPr="00A1148F">
        <w:rPr>
          <w:rFonts w:ascii="EC Square Sans Pro" w:hAnsi="EC Square Sans Pro" w:cstheme="minorHAnsi"/>
          <w:b w:val="0"/>
          <w:bCs w:val="0"/>
          <w:color w:val="000000"/>
          <w:sz w:val="22"/>
          <w:szCs w:val="22"/>
          <w:shd w:val="clear" w:color="auto" w:fill="FAFCFF"/>
          <w:lang w:val="en-IE"/>
        </w:rPr>
        <w:t xml:space="preserve"> the financial business rules to be implemented in SUMMA</w:t>
      </w:r>
    </w:p>
    <w:p w14:paraId="54572F23" w14:textId="37E4F52C" w:rsidR="00A1148F" w:rsidRPr="00A1148F"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Analyse and provide input for the processes and IT systems optimizations with the impact on financial and budgetary reporting.</w:t>
      </w:r>
    </w:p>
    <w:p w14:paraId="2FB83931" w14:textId="27082C99" w:rsidR="00A1148F" w:rsidRPr="00A1148F"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Prepare reports or replies to information requests from the hierarchy and external stakeholders.</w:t>
      </w:r>
    </w:p>
    <w:p w14:paraId="2F1CCD55" w14:textId="46646393" w:rsidR="00306F2B" w:rsidRPr="00FB0309" w:rsidRDefault="00A1148F" w:rsidP="00A1148F">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A1148F">
        <w:rPr>
          <w:rFonts w:ascii="EC Square Sans Pro" w:hAnsi="EC Square Sans Pro" w:cstheme="minorHAnsi"/>
          <w:b w:val="0"/>
          <w:bCs w:val="0"/>
          <w:color w:val="000000"/>
          <w:sz w:val="22"/>
          <w:szCs w:val="22"/>
          <w:shd w:val="clear" w:color="auto" w:fill="FAFCFF"/>
          <w:lang w:val="en-IE"/>
        </w:rPr>
        <w:t>Contribute on the promotion of the single version of the truth and the re-use of standard indicators within and out the Commission.</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183833B2" w14:textId="6FF8F595" w:rsidR="00BF105F" w:rsidRPr="00BF105F" w:rsidRDefault="0080456E" w:rsidP="00BF105F">
      <w:pPr>
        <w:pStyle w:val="Heading1"/>
        <w:jc w:val="both"/>
        <w:rPr>
          <w:rFonts w:ascii="EC Square Sans Pro" w:hAnsi="EC Square Sans Pro" w:cstheme="minorHAnsi"/>
          <w:b w:val="0"/>
          <w:bCs w:val="0"/>
          <w:color w:val="000000"/>
          <w:sz w:val="22"/>
          <w:szCs w:val="22"/>
          <w:shd w:val="clear" w:color="auto" w:fill="FAFCFF"/>
          <w:lang w:val="en-IE"/>
        </w:rPr>
      </w:pPr>
      <w:r w:rsidRPr="0080456E">
        <w:rPr>
          <w:rFonts w:ascii="EC Square Sans Pro" w:hAnsi="EC Square Sans Pro" w:cstheme="minorHAnsi"/>
          <w:b w:val="0"/>
          <w:bCs w:val="0"/>
          <w:color w:val="000000"/>
          <w:sz w:val="22"/>
          <w:szCs w:val="22"/>
          <w:shd w:val="clear" w:color="auto" w:fill="FAFCFF"/>
          <w:lang w:val="en-IE"/>
        </w:rPr>
        <w:t xml:space="preserve">We are looking for a highly motivated candidate with a proven capacity to prioritise and organise work and with a strong sense of responsibility. He/she should be able to work pro-actively with a sense of initiative and responsibility and be quickly operational. He/she should have excellent written and oral communication skills. The candidate should have experience in managing meetings with team members from different </w:t>
      </w:r>
      <w:r w:rsidR="00BF105F">
        <w:rPr>
          <w:rFonts w:ascii="EC Square Sans Pro" w:hAnsi="EC Square Sans Pro" w:cstheme="minorHAnsi"/>
          <w:b w:val="0"/>
          <w:bCs w:val="0"/>
          <w:color w:val="000000"/>
          <w:sz w:val="22"/>
          <w:szCs w:val="22"/>
          <w:shd w:val="clear" w:color="auto" w:fill="FAFCFF"/>
          <w:lang w:val="en-IE"/>
        </w:rPr>
        <w:t>services, c</w:t>
      </w:r>
      <w:r w:rsidR="00BF105F" w:rsidRPr="00BF105F">
        <w:rPr>
          <w:rFonts w:ascii="EC Square Sans Pro" w:hAnsi="EC Square Sans Pro" w:cstheme="minorHAnsi"/>
          <w:b w:val="0"/>
          <w:bCs w:val="0"/>
          <w:color w:val="000000"/>
          <w:sz w:val="22"/>
          <w:szCs w:val="22"/>
          <w:shd w:val="clear" w:color="auto" w:fill="FAFCFF"/>
          <w:lang w:val="en-IE"/>
        </w:rPr>
        <w:t>apacity to perform tasks accurately and independently, managing work to meet tight deadlines.</w:t>
      </w:r>
    </w:p>
    <w:p w14:paraId="1ADC0A6E" w14:textId="1F8A6F86" w:rsidR="00832ED0" w:rsidRPr="00FB0309" w:rsidRDefault="00BF105F" w:rsidP="00BF105F">
      <w:pPr>
        <w:pStyle w:val="Heading1"/>
        <w:ind w:left="0" w:firstLine="305"/>
        <w:jc w:val="both"/>
        <w:rPr>
          <w:rFonts w:ascii="EC Square Sans Pro" w:hAnsi="EC Square Sans Pro" w:cstheme="minorHAnsi"/>
          <w:b w:val="0"/>
          <w:bCs w:val="0"/>
          <w:color w:val="000000"/>
          <w:sz w:val="22"/>
          <w:szCs w:val="22"/>
          <w:shd w:val="clear" w:color="auto" w:fill="FAFCFF"/>
          <w:lang w:val="en-IE"/>
        </w:rPr>
      </w:pPr>
      <w:r w:rsidRPr="00BF105F">
        <w:rPr>
          <w:rFonts w:ascii="EC Square Sans Pro" w:hAnsi="EC Square Sans Pro" w:cstheme="minorHAnsi"/>
          <w:b w:val="0"/>
          <w:bCs w:val="0"/>
          <w:color w:val="000000"/>
          <w:sz w:val="22"/>
          <w:szCs w:val="22"/>
          <w:shd w:val="clear" w:color="auto" w:fill="FAFCFF"/>
          <w:lang w:val="en-IE"/>
        </w:rPr>
        <w:t>A very good command of English (written and oral) is required for this position.</w:t>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7" w:name="_Hlk144109741"/>
      <w:r w:rsidRPr="005470CD">
        <w:rPr>
          <w:rFonts w:ascii="EC Square Sans Pro" w:hAnsi="EC Square Sans Pro" w:cs="Arial"/>
          <w:b/>
        </w:rPr>
        <w:t>HOW TO EXPRESS YOUR INTEREST?</w:t>
      </w:r>
    </w:p>
    <w:bookmarkEnd w:id="7"/>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208FE92A"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5" w:history="1">
        <w:r w:rsidR="00557B09" w:rsidRPr="00550CD7">
          <w:rPr>
            <w:rStyle w:val="Hyperlink"/>
            <w:rFonts w:ascii="EC Square Sans Pro" w:hAnsi="EC Square Sans Pro" w:cstheme="minorHAnsi"/>
            <w:lang w:val="en-IE"/>
          </w:rPr>
          <w:t>BUDG-MAILBOX-D04@ec.europa.eu</w:t>
        </w:r>
      </w:hyperlink>
      <w:r w:rsidR="00557B09">
        <w:rPr>
          <w:rFonts w:ascii="EC Square Sans Pro" w:hAnsi="EC Square Sans Pro" w:cstheme="minorHAnsi"/>
          <w:lang w:val="en-IE"/>
        </w:rPr>
        <w:t xml:space="preserve"> </w:t>
      </w:r>
      <w:r w:rsidR="002F7BC3" w:rsidRPr="00FB0309">
        <w:rPr>
          <w:rFonts w:ascii="EC Square Sans Pro" w:hAnsi="EC Square Sans Pro" w:cstheme="minorHAnsi"/>
          <w:lang w:val="en-IE"/>
        </w:rPr>
        <w:t xml:space="preserve">indicating the call for interest reference </w:t>
      </w:r>
      <w:r w:rsidR="00A00510">
        <w:rPr>
          <w:rFonts w:ascii="EC Square Sans Pro" w:hAnsi="EC Square Sans Pro"/>
        </w:rPr>
        <w:t>EC/2025/BUDG/</w:t>
      </w:r>
      <w:r w:rsidR="00A00510" w:rsidRPr="00E81561">
        <w:rPr>
          <w:rFonts w:ascii="EC Square Sans Pro" w:hAnsi="EC Square Sans Pro"/>
        </w:rPr>
        <w:t>GFIV</w:t>
      </w:r>
      <w:r w:rsidR="00A00510">
        <w:rPr>
          <w:rFonts w:ascii="EC Square Sans Pro" w:hAnsi="EC Square Sans Pro"/>
        </w:rPr>
        <w:t>/</w:t>
      </w:r>
      <w:r w:rsidR="00A00510" w:rsidRPr="00E81561">
        <w:rPr>
          <w:rFonts w:ascii="EC Square Sans Pro" w:hAnsi="EC Square Sans Pro"/>
        </w:rPr>
        <w:t>435140</w:t>
      </w:r>
      <w:r w:rsidR="00A00510">
        <w:rPr>
          <w:rFonts w:ascii="EC Square Sans Pro" w:hAnsi="EC Square Sans Pro"/>
        </w:rPr>
        <w:t xml:space="preserve"> </w:t>
      </w:r>
      <w:r w:rsidR="002F7BC3" w:rsidRPr="00FB0309">
        <w:rPr>
          <w:rFonts w:ascii="EC Square Sans Pro" w:hAnsi="EC Square Sans Pro" w:cstheme="minorHAnsi"/>
          <w:lang w:val="en-IE"/>
        </w:rPr>
        <w:t>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8"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8"/>
      <w:r w:rsidR="00A402D3" w:rsidRPr="00FB0309">
        <w:rPr>
          <w:rFonts w:ascii="EC Square Sans Pro" w:hAnsi="EC Square Sans Pro" w:cstheme="minorHAnsi"/>
          <w:lang w:val="en-IE"/>
        </w:rPr>
        <w:t>;</w:t>
      </w:r>
      <w:proofErr w:type="gramEnd"/>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9"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9"/>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10"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557B09">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5B0CCA71" w14:textId="77777777" w:rsidR="00965A17" w:rsidRPr="00FB0309" w:rsidRDefault="00965A17" w:rsidP="00557B09">
      <w:pPr>
        <w:pStyle w:val="Heading1"/>
        <w:numPr>
          <w:ilvl w:val="0"/>
          <w:numId w:val="4"/>
        </w:numPr>
        <w:spacing w:before="240"/>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5433C5C3"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r w:rsidR="001E211A" w:rsidRPr="00C83A63">
        <w:rPr>
          <w:rFonts w:ascii="EC Square Sans Pro" w:hAnsi="EC Square Sans Pro" w:cstheme="minorHAnsi"/>
          <w:highlight w:val="yellow"/>
          <w:lang w:val="en-IE"/>
        </w:rPr>
        <w:t xml:space="preserve"> </w:t>
      </w:r>
    </w:p>
    <w:bookmarkEnd w:id="10"/>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07BF210F"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557B09">
        <w:rPr>
          <w:rFonts w:ascii="EC Square Sans Pro" w:eastAsiaTheme="minorHAnsi" w:hAnsi="EC Square Sans Pro" w:cstheme="minorHAnsi"/>
          <w:bCs w:val="0"/>
          <w:sz w:val="22"/>
          <w:szCs w:val="22"/>
          <w:lang w:val="en-IE"/>
        </w:rPr>
        <w:t>Brussels</w:t>
      </w:r>
      <w:r w:rsidR="00AC76C5" w:rsidRPr="00FB0309">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789BD5E3"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w:t>
      </w:r>
      <w:r w:rsidR="00962B80" w:rsidRPr="00557B09">
        <w:rPr>
          <w:rFonts w:ascii="EC Square Sans Pro" w:hAnsi="EC Square Sans Pro" w:cstheme="minorHAnsi"/>
          <w:b/>
          <w:lang w:val="en-IE"/>
        </w:rPr>
        <w:t xml:space="preserve">under Article </w:t>
      </w:r>
      <w:r w:rsidR="000030E0" w:rsidRPr="00557B09">
        <w:rPr>
          <w:rFonts w:ascii="EC Square Sans Pro" w:hAnsi="EC Square Sans Pro" w:cstheme="minorHAnsi"/>
          <w:b/>
          <w:lang w:val="en-IE"/>
        </w:rPr>
        <w:t>3</w:t>
      </w:r>
      <w:r w:rsidR="00962B80" w:rsidRPr="00557B09">
        <w:rPr>
          <w:rFonts w:ascii="EC Square Sans Pro" w:hAnsi="EC Square Sans Pro" w:cstheme="minorHAnsi"/>
          <w:b/>
          <w:lang w:val="en-IE"/>
        </w:rPr>
        <w:t>(</w:t>
      </w:r>
      <w:r w:rsidR="000030E0" w:rsidRPr="00557B09">
        <w:rPr>
          <w:rFonts w:ascii="EC Square Sans Pro" w:hAnsi="EC Square Sans Pro" w:cstheme="minorHAnsi"/>
          <w:b/>
          <w:lang w:val="en-IE"/>
        </w:rPr>
        <w:t>b</w:t>
      </w:r>
      <w:r w:rsidR="00962B80" w:rsidRPr="00557B09">
        <w:rPr>
          <w:rFonts w:ascii="EC Square Sans Pro" w:hAnsi="EC Square Sans Pro" w:cstheme="minorHAnsi"/>
          <w:b/>
          <w:lang w:val="en-IE"/>
        </w:rPr>
        <w:t xml:space="preserve">) of the </w:t>
      </w:r>
      <w:hyperlink r:id="rId17" w:history="1">
        <w:r w:rsidR="00563B94" w:rsidRPr="00557B09">
          <w:rPr>
            <w:rStyle w:val="Hyperlink"/>
            <w:rFonts w:ascii="EC Square Sans Pro" w:hAnsi="EC Square Sans Pro" w:cstheme="minorHAnsi"/>
            <w:lang w:val="en-IE"/>
          </w:rPr>
          <w:t>Conditions of Employment of Other Servants</w:t>
        </w:r>
      </w:hyperlink>
      <w:r w:rsidR="00962B80" w:rsidRPr="00557B09">
        <w:rPr>
          <w:rFonts w:ascii="EC Square Sans Pro" w:hAnsi="EC Square Sans Pro" w:cstheme="minorHAnsi"/>
          <w:b/>
          <w:lang w:val="en-IE"/>
        </w:rPr>
        <w:t>,</w:t>
      </w:r>
      <w:r w:rsidR="00965A17" w:rsidRPr="00557B09">
        <w:rPr>
          <w:rFonts w:ascii="EC Square Sans Pro" w:hAnsi="EC Square Sans Pro" w:cstheme="minorHAnsi"/>
          <w:b/>
          <w:lang w:val="en-IE"/>
        </w:rPr>
        <w:t xml:space="preserve"> </w:t>
      </w:r>
      <w:r w:rsidR="00962B80" w:rsidRPr="00557B09">
        <w:rPr>
          <w:rFonts w:ascii="EC Square Sans Pro" w:hAnsi="EC Square Sans Pro" w:cstheme="minorHAnsi"/>
          <w:b/>
          <w:lang w:val="en-IE"/>
        </w:rPr>
        <w:t xml:space="preserve">in function group </w:t>
      </w:r>
      <w:r w:rsidR="000030E0" w:rsidRPr="00557B09">
        <w:rPr>
          <w:rFonts w:ascii="EC Square Sans Pro" w:hAnsi="EC Square Sans Pro" w:cstheme="minorHAnsi"/>
          <w:b/>
          <w:lang w:val="en-IE"/>
        </w:rPr>
        <w:t>FG IV</w:t>
      </w:r>
      <w:r w:rsidR="000B3884" w:rsidRPr="00557B09">
        <w:rPr>
          <w:rFonts w:ascii="EC Square Sans Pro" w:hAnsi="EC Square Sans Pro" w:cstheme="minorHAnsi"/>
          <w:b/>
          <w:lang w:val="en-IE"/>
        </w:rPr>
        <w:t>.</w:t>
      </w:r>
      <w:r w:rsidR="008B1150" w:rsidRPr="00557B09">
        <w:rPr>
          <w:rFonts w:ascii="EC Square Sans Pro" w:hAnsi="EC Square Sans Pro" w:cstheme="minorHAnsi"/>
          <w:b/>
          <w:lang w:val="en-IE"/>
        </w:rPr>
        <w:t xml:space="preserve"> </w:t>
      </w:r>
      <w:r w:rsidR="008B1150" w:rsidRPr="00557B09">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22CDE23F" w14:textId="59C8ED24" w:rsidR="00BD64EF" w:rsidRPr="00FB0309" w:rsidRDefault="00962B80" w:rsidP="00557B09">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557B09">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lastRenderedPageBreak/>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1" w:name="_Hlk147340653"/>
      <w:r w:rsidRPr="00FB0309">
        <w:rPr>
          <w:rFonts w:ascii="EC Square Sans Pro" w:hAnsi="EC Square Sans Pro" w:cstheme="minorHAnsi"/>
          <w:lang w:val="en-IE"/>
        </w:rPr>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2"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1"/>
    <w:bookmarkEnd w:id="12"/>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EBF9" w14:textId="77777777" w:rsidR="00B033AF" w:rsidRDefault="00B033AF" w:rsidP="00B55593">
      <w:pPr>
        <w:spacing w:after="0" w:line="240" w:lineRule="auto"/>
      </w:pPr>
      <w:r>
        <w:separator/>
      </w:r>
    </w:p>
  </w:endnote>
  <w:endnote w:type="continuationSeparator" w:id="0">
    <w:p w14:paraId="573DCFF0" w14:textId="77777777" w:rsidR="00B033AF" w:rsidRDefault="00B033AF"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1845DE50"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A00510">
      <w:rPr>
        <w:rFonts w:ascii="EC Square Sans Pro" w:hAnsi="EC Square Sans Pro"/>
      </w:rPr>
      <w:t>EC/2025/</w:t>
    </w:r>
    <w:r w:rsidR="00E81561">
      <w:rPr>
        <w:rFonts w:ascii="EC Square Sans Pro" w:hAnsi="EC Square Sans Pro"/>
      </w:rPr>
      <w:t>BUDG/</w:t>
    </w:r>
    <w:r w:rsidR="00E81561" w:rsidRPr="00E81561">
      <w:rPr>
        <w:rFonts w:ascii="EC Square Sans Pro" w:hAnsi="EC Square Sans Pro"/>
      </w:rPr>
      <w:t>435140</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6B25" w14:textId="77777777" w:rsidR="00B033AF" w:rsidRDefault="00B033AF" w:rsidP="00B55593">
      <w:pPr>
        <w:spacing w:after="0" w:line="240" w:lineRule="auto"/>
      </w:pPr>
      <w:r>
        <w:separator/>
      </w:r>
    </w:p>
  </w:footnote>
  <w:footnote w:type="continuationSeparator" w:id="0">
    <w:p w14:paraId="62E4C9F8" w14:textId="77777777" w:rsidR="00B033AF" w:rsidRDefault="00B033AF"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Therefore, candidates who did not pass already a CAST on the level Function Group [</w:t>
      </w:r>
      <w:r w:rsidRPr="00DA5518">
        <w:rPr>
          <w:rFonts w:ascii="EC Square Sans Pro" w:hAnsi="EC Square Sans Pro" w:cstheme="minorHAnsi"/>
          <w:highlight w:val="yellow"/>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680C53"/>
    <w:multiLevelType w:val="hybridMultilevel"/>
    <w:tmpl w:val="3B44E8B6"/>
    <w:lvl w:ilvl="0" w:tplc="18090001">
      <w:start w:val="1"/>
      <w:numFmt w:val="bullet"/>
      <w:lvlText w:val=""/>
      <w:lvlJc w:val="left"/>
      <w:pPr>
        <w:ind w:left="1025" w:hanging="360"/>
      </w:pPr>
      <w:rPr>
        <w:rFonts w:ascii="Symbol" w:hAnsi="Symbol" w:hint="default"/>
      </w:rPr>
    </w:lvl>
    <w:lvl w:ilvl="1" w:tplc="18090003" w:tentative="1">
      <w:start w:val="1"/>
      <w:numFmt w:val="bullet"/>
      <w:lvlText w:val="o"/>
      <w:lvlJc w:val="left"/>
      <w:pPr>
        <w:ind w:left="1745" w:hanging="360"/>
      </w:pPr>
      <w:rPr>
        <w:rFonts w:ascii="Courier New" w:hAnsi="Courier New" w:cs="Courier New" w:hint="default"/>
      </w:rPr>
    </w:lvl>
    <w:lvl w:ilvl="2" w:tplc="18090005" w:tentative="1">
      <w:start w:val="1"/>
      <w:numFmt w:val="bullet"/>
      <w:lvlText w:val=""/>
      <w:lvlJc w:val="left"/>
      <w:pPr>
        <w:ind w:left="2465" w:hanging="360"/>
      </w:pPr>
      <w:rPr>
        <w:rFonts w:ascii="Wingdings" w:hAnsi="Wingdings" w:hint="default"/>
      </w:rPr>
    </w:lvl>
    <w:lvl w:ilvl="3" w:tplc="18090001" w:tentative="1">
      <w:start w:val="1"/>
      <w:numFmt w:val="bullet"/>
      <w:lvlText w:val=""/>
      <w:lvlJc w:val="left"/>
      <w:pPr>
        <w:ind w:left="3185" w:hanging="360"/>
      </w:pPr>
      <w:rPr>
        <w:rFonts w:ascii="Symbol" w:hAnsi="Symbol" w:hint="default"/>
      </w:rPr>
    </w:lvl>
    <w:lvl w:ilvl="4" w:tplc="18090003" w:tentative="1">
      <w:start w:val="1"/>
      <w:numFmt w:val="bullet"/>
      <w:lvlText w:val="o"/>
      <w:lvlJc w:val="left"/>
      <w:pPr>
        <w:ind w:left="3905" w:hanging="360"/>
      </w:pPr>
      <w:rPr>
        <w:rFonts w:ascii="Courier New" w:hAnsi="Courier New" w:cs="Courier New" w:hint="default"/>
      </w:rPr>
    </w:lvl>
    <w:lvl w:ilvl="5" w:tplc="18090005" w:tentative="1">
      <w:start w:val="1"/>
      <w:numFmt w:val="bullet"/>
      <w:lvlText w:val=""/>
      <w:lvlJc w:val="left"/>
      <w:pPr>
        <w:ind w:left="4625" w:hanging="360"/>
      </w:pPr>
      <w:rPr>
        <w:rFonts w:ascii="Wingdings" w:hAnsi="Wingdings" w:hint="default"/>
      </w:rPr>
    </w:lvl>
    <w:lvl w:ilvl="6" w:tplc="18090001" w:tentative="1">
      <w:start w:val="1"/>
      <w:numFmt w:val="bullet"/>
      <w:lvlText w:val=""/>
      <w:lvlJc w:val="left"/>
      <w:pPr>
        <w:ind w:left="5345" w:hanging="360"/>
      </w:pPr>
      <w:rPr>
        <w:rFonts w:ascii="Symbol" w:hAnsi="Symbol" w:hint="default"/>
      </w:rPr>
    </w:lvl>
    <w:lvl w:ilvl="7" w:tplc="18090003" w:tentative="1">
      <w:start w:val="1"/>
      <w:numFmt w:val="bullet"/>
      <w:lvlText w:val="o"/>
      <w:lvlJc w:val="left"/>
      <w:pPr>
        <w:ind w:left="6065" w:hanging="360"/>
      </w:pPr>
      <w:rPr>
        <w:rFonts w:ascii="Courier New" w:hAnsi="Courier New" w:cs="Courier New" w:hint="default"/>
      </w:rPr>
    </w:lvl>
    <w:lvl w:ilvl="8" w:tplc="18090005" w:tentative="1">
      <w:start w:val="1"/>
      <w:numFmt w:val="bullet"/>
      <w:lvlText w:val=""/>
      <w:lvlJc w:val="left"/>
      <w:pPr>
        <w:ind w:left="6785" w:hanging="360"/>
      </w:pPr>
      <w:rPr>
        <w:rFonts w:ascii="Wingdings" w:hAnsi="Wingdings" w:hint="default"/>
      </w:rPr>
    </w:lvl>
  </w:abstractNum>
  <w:abstractNum w:abstractNumId="11"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565F55A7"/>
    <w:multiLevelType w:val="hybridMultilevel"/>
    <w:tmpl w:val="39D28BFE"/>
    <w:lvl w:ilvl="0" w:tplc="18090001">
      <w:start w:val="1"/>
      <w:numFmt w:val="bullet"/>
      <w:lvlText w:val=""/>
      <w:lvlJc w:val="left"/>
      <w:pPr>
        <w:ind w:left="1025" w:hanging="360"/>
      </w:pPr>
      <w:rPr>
        <w:rFonts w:ascii="Symbol" w:hAnsi="Symbol" w:hint="default"/>
      </w:rPr>
    </w:lvl>
    <w:lvl w:ilvl="1" w:tplc="18090003" w:tentative="1">
      <w:start w:val="1"/>
      <w:numFmt w:val="bullet"/>
      <w:lvlText w:val="o"/>
      <w:lvlJc w:val="left"/>
      <w:pPr>
        <w:ind w:left="1745" w:hanging="360"/>
      </w:pPr>
      <w:rPr>
        <w:rFonts w:ascii="Courier New" w:hAnsi="Courier New" w:cs="Courier New" w:hint="default"/>
      </w:rPr>
    </w:lvl>
    <w:lvl w:ilvl="2" w:tplc="18090005" w:tentative="1">
      <w:start w:val="1"/>
      <w:numFmt w:val="bullet"/>
      <w:lvlText w:val=""/>
      <w:lvlJc w:val="left"/>
      <w:pPr>
        <w:ind w:left="2465" w:hanging="360"/>
      </w:pPr>
      <w:rPr>
        <w:rFonts w:ascii="Wingdings" w:hAnsi="Wingdings" w:hint="default"/>
      </w:rPr>
    </w:lvl>
    <w:lvl w:ilvl="3" w:tplc="18090001" w:tentative="1">
      <w:start w:val="1"/>
      <w:numFmt w:val="bullet"/>
      <w:lvlText w:val=""/>
      <w:lvlJc w:val="left"/>
      <w:pPr>
        <w:ind w:left="3185" w:hanging="360"/>
      </w:pPr>
      <w:rPr>
        <w:rFonts w:ascii="Symbol" w:hAnsi="Symbol" w:hint="default"/>
      </w:rPr>
    </w:lvl>
    <w:lvl w:ilvl="4" w:tplc="18090003" w:tentative="1">
      <w:start w:val="1"/>
      <w:numFmt w:val="bullet"/>
      <w:lvlText w:val="o"/>
      <w:lvlJc w:val="left"/>
      <w:pPr>
        <w:ind w:left="3905" w:hanging="360"/>
      </w:pPr>
      <w:rPr>
        <w:rFonts w:ascii="Courier New" w:hAnsi="Courier New" w:cs="Courier New" w:hint="default"/>
      </w:rPr>
    </w:lvl>
    <w:lvl w:ilvl="5" w:tplc="18090005" w:tentative="1">
      <w:start w:val="1"/>
      <w:numFmt w:val="bullet"/>
      <w:lvlText w:val=""/>
      <w:lvlJc w:val="left"/>
      <w:pPr>
        <w:ind w:left="4625" w:hanging="360"/>
      </w:pPr>
      <w:rPr>
        <w:rFonts w:ascii="Wingdings" w:hAnsi="Wingdings" w:hint="default"/>
      </w:rPr>
    </w:lvl>
    <w:lvl w:ilvl="6" w:tplc="18090001" w:tentative="1">
      <w:start w:val="1"/>
      <w:numFmt w:val="bullet"/>
      <w:lvlText w:val=""/>
      <w:lvlJc w:val="left"/>
      <w:pPr>
        <w:ind w:left="5345" w:hanging="360"/>
      </w:pPr>
      <w:rPr>
        <w:rFonts w:ascii="Symbol" w:hAnsi="Symbol" w:hint="default"/>
      </w:rPr>
    </w:lvl>
    <w:lvl w:ilvl="7" w:tplc="18090003" w:tentative="1">
      <w:start w:val="1"/>
      <w:numFmt w:val="bullet"/>
      <w:lvlText w:val="o"/>
      <w:lvlJc w:val="left"/>
      <w:pPr>
        <w:ind w:left="6065" w:hanging="360"/>
      </w:pPr>
      <w:rPr>
        <w:rFonts w:ascii="Courier New" w:hAnsi="Courier New" w:cs="Courier New" w:hint="default"/>
      </w:rPr>
    </w:lvl>
    <w:lvl w:ilvl="8" w:tplc="18090005" w:tentative="1">
      <w:start w:val="1"/>
      <w:numFmt w:val="bullet"/>
      <w:lvlText w:val=""/>
      <w:lvlJc w:val="left"/>
      <w:pPr>
        <w:ind w:left="6785" w:hanging="360"/>
      </w:pPr>
      <w:rPr>
        <w:rFonts w:ascii="Wingdings" w:hAnsi="Wingdings" w:hint="default"/>
      </w:rPr>
    </w:lvl>
  </w:abstractNum>
  <w:abstractNum w:abstractNumId="13"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4" w15:restartNumberingAfterBreak="0">
    <w:nsid w:val="60AE3367"/>
    <w:multiLevelType w:val="hybridMultilevel"/>
    <w:tmpl w:val="66B005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5"/>
  </w:num>
  <w:num w:numId="2" w16cid:durableId="588274128">
    <w:abstractNumId w:val="9"/>
  </w:num>
  <w:num w:numId="3" w16cid:durableId="1462186088">
    <w:abstractNumId w:val="3"/>
  </w:num>
  <w:num w:numId="4" w16cid:durableId="1152218759">
    <w:abstractNumId w:val="11"/>
  </w:num>
  <w:num w:numId="5" w16cid:durableId="1318463511">
    <w:abstractNumId w:val="6"/>
  </w:num>
  <w:num w:numId="6" w16cid:durableId="1247567953">
    <w:abstractNumId w:val="17"/>
  </w:num>
  <w:num w:numId="7" w16cid:durableId="355467659">
    <w:abstractNumId w:val="16"/>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8"/>
  </w:num>
  <w:num w:numId="14" w16cid:durableId="170688083">
    <w:abstractNumId w:val="2"/>
  </w:num>
  <w:num w:numId="15" w16cid:durableId="1186096894">
    <w:abstractNumId w:val="13"/>
  </w:num>
  <w:num w:numId="16" w16cid:durableId="1123842563">
    <w:abstractNumId w:val="4"/>
  </w:num>
  <w:num w:numId="17" w16cid:durableId="322664728">
    <w:abstractNumId w:val="14"/>
  </w:num>
  <w:num w:numId="18" w16cid:durableId="1242788830">
    <w:abstractNumId w:val="12"/>
  </w:num>
  <w:num w:numId="19" w16cid:durableId="11808567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IE"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2558"/>
    <w:rsid w:val="000030E0"/>
    <w:rsid w:val="00014F8F"/>
    <w:rsid w:val="00023DF2"/>
    <w:rsid w:val="00031CAB"/>
    <w:rsid w:val="00033D88"/>
    <w:rsid w:val="00041562"/>
    <w:rsid w:val="00053705"/>
    <w:rsid w:val="00082F5D"/>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50045"/>
    <w:rsid w:val="00160E62"/>
    <w:rsid w:val="00164168"/>
    <w:rsid w:val="0016435E"/>
    <w:rsid w:val="0016441F"/>
    <w:rsid w:val="00171581"/>
    <w:rsid w:val="001759D5"/>
    <w:rsid w:val="001766C3"/>
    <w:rsid w:val="00181B84"/>
    <w:rsid w:val="0018277B"/>
    <w:rsid w:val="00187397"/>
    <w:rsid w:val="001961DE"/>
    <w:rsid w:val="001A000C"/>
    <w:rsid w:val="001A15B9"/>
    <w:rsid w:val="001A4476"/>
    <w:rsid w:val="001A61AA"/>
    <w:rsid w:val="001B4229"/>
    <w:rsid w:val="001B567D"/>
    <w:rsid w:val="001B6F66"/>
    <w:rsid w:val="001D1C7C"/>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56030"/>
    <w:rsid w:val="002619D1"/>
    <w:rsid w:val="00262998"/>
    <w:rsid w:val="00265C65"/>
    <w:rsid w:val="0027406F"/>
    <w:rsid w:val="00285B63"/>
    <w:rsid w:val="00293E51"/>
    <w:rsid w:val="00294049"/>
    <w:rsid w:val="002A157A"/>
    <w:rsid w:val="002A4247"/>
    <w:rsid w:val="002C1DA6"/>
    <w:rsid w:val="002D08E1"/>
    <w:rsid w:val="002D0B6A"/>
    <w:rsid w:val="002D6639"/>
    <w:rsid w:val="002D6757"/>
    <w:rsid w:val="002E3596"/>
    <w:rsid w:val="002E49DA"/>
    <w:rsid w:val="002F45C2"/>
    <w:rsid w:val="002F700A"/>
    <w:rsid w:val="002F7BC3"/>
    <w:rsid w:val="00302366"/>
    <w:rsid w:val="00306F2B"/>
    <w:rsid w:val="003104CE"/>
    <w:rsid w:val="00321C87"/>
    <w:rsid w:val="0032282E"/>
    <w:rsid w:val="00341CF0"/>
    <w:rsid w:val="0034222C"/>
    <w:rsid w:val="0034423E"/>
    <w:rsid w:val="003478C1"/>
    <w:rsid w:val="003539AE"/>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37A97"/>
    <w:rsid w:val="00441331"/>
    <w:rsid w:val="004436FC"/>
    <w:rsid w:val="00446CDC"/>
    <w:rsid w:val="00450622"/>
    <w:rsid w:val="00450861"/>
    <w:rsid w:val="0045092D"/>
    <w:rsid w:val="00461F15"/>
    <w:rsid w:val="00467112"/>
    <w:rsid w:val="00482D11"/>
    <w:rsid w:val="004912D3"/>
    <w:rsid w:val="004A111F"/>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57B09"/>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A2E"/>
    <w:rsid w:val="005C6C94"/>
    <w:rsid w:val="005D5158"/>
    <w:rsid w:val="005E307A"/>
    <w:rsid w:val="005E3F1A"/>
    <w:rsid w:val="005E484B"/>
    <w:rsid w:val="005E4874"/>
    <w:rsid w:val="005F510F"/>
    <w:rsid w:val="006016D1"/>
    <w:rsid w:val="00611B27"/>
    <w:rsid w:val="00613BCF"/>
    <w:rsid w:val="006145E9"/>
    <w:rsid w:val="00631B68"/>
    <w:rsid w:val="00634A30"/>
    <w:rsid w:val="00636CCE"/>
    <w:rsid w:val="00650248"/>
    <w:rsid w:val="006518EB"/>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4718"/>
    <w:rsid w:val="0072790C"/>
    <w:rsid w:val="0072799C"/>
    <w:rsid w:val="00727D99"/>
    <w:rsid w:val="00736A8F"/>
    <w:rsid w:val="00746D60"/>
    <w:rsid w:val="00747A95"/>
    <w:rsid w:val="007549CF"/>
    <w:rsid w:val="00771614"/>
    <w:rsid w:val="00777340"/>
    <w:rsid w:val="0078029F"/>
    <w:rsid w:val="00784DE0"/>
    <w:rsid w:val="00786216"/>
    <w:rsid w:val="007874C9"/>
    <w:rsid w:val="007938EA"/>
    <w:rsid w:val="007B4874"/>
    <w:rsid w:val="007B7601"/>
    <w:rsid w:val="007C1778"/>
    <w:rsid w:val="007C7D7B"/>
    <w:rsid w:val="007F5F29"/>
    <w:rsid w:val="007F6F26"/>
    <w:rsid w:val="00802B41"/>
    <w:rsid w:val="0080456E"/>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396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779D9"/>
    <w:rsid w:val="009823C1"/>
    <w:rsid w:val="00982BDE"/>
    <w:rsid w:val="009931DF"/>
    <w:rsid w:val="009970AD"/>
    <w:rsid w:val="009B1A12"/>
    <w:rsid w:val="009B31C2"/>
    <w:rsid w:val="009C0A52"/>
    <w:rsid w:val="009C3025"/>
    <w:rsid w:val="009C5204"/>
    <w:rsid w:val="009D71D0"/>
    <w:rsid w:val="009E18FA"/>
    <w:rsid w:val="009F0A0E"/>
    <w:rsid w:val="009F1438"/>
    <w:rsid w:val="009F4713"/>
    <w:rsid w:val="009F7111"/>
    <w:rsid w:val="00A00510"/>
    <w:rsid w:val="00A02065"/>
    <w:rsid w:val="00A06C1E"/>
    <w:rsid w:val="00A07764"/>
    <w:rsid w:val="00A1148F"/>
    <w:rsid w:val="00A23E73"/>
    <w:rsid w:val="00A23EF9"/>
    <w:rsid w:val="00A3320F"/>
    <w:rsid w:val="00A402D3"/>
    <w:rsid w:val="00A44B1E"/>
    <w:rsid w:val="00A47BB9"/>
    <w:rsid w:val="00A50510"/>
    <w:rsid w:val="00A62332"/>
    <w:rsid w:val="00A65996"/>
    <w:rsid w:val="00A66FF7"/>
    <w:rsid w:val="00A67802"/>
    <w:rsid w:val="00A728F5"/>
    <w:rsid w:val="00A749B5"/>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033AF"/>
    <w:rsid w:val="00B21C9A"/>
    <w:rsid w:val="00B229D2"/>
    <w:rsid w:val="00B30D71"/>
    <w:rsid w:val="00B329B5"/>
    <w:rsid w:val="00B40D12"/>
    <w:rsid w:val="00B424EB"/>
    <w:rsid w:val="00B50DDC"/>
    <w:rsid w:val="00B519B4"/>
    <w:rsid w:val="00B530E8"/>
    <w:rsid w:val="00B55593"/>
    <w:rsid w:val="00B5592A"/>
    <w:rsid w:val="00B618B1"/>
    <w:rsid w:val="00B664D2"/>
    <w:rsid w:val="00B73999"/>
    <w:rsid w:val="00BA3BBE"/>
    <w:rsid w:val="00BA78CD"/>
    <w:rsid w:val="00BA7B9F"/>
    <w:rsid w:val="00BB205C"/>
    <w:rsid w:val="00BB47F6"/>
    <w:rsid w:val="00BB736B"/>
    <w:rsid w:val="00BD05C8"/>
    <w:rsid w:val="00BD64EF"/>
    <w:rsid w:val="00BF105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1561"/>
    <w:rsid w:val="00E84D05"/>
    <w:rsid w:val="00EA0901"/>
    <w:rsid w:val="00EA1C6B"/>
    <w:rsid w:val="00EC1E58"/>
    <w:rsid w:val="00EE1ECE"/>
    <w:rsid w:val="00EE64C2"/>
    <w:rsid w:val="00EF53EF"/>
    <w:rsid w:val="00EF71EB"/>
    <w:rsid w:val="00F04A98"/>
    <w:rsid w:val="00F061B1"/>
    <w:rsid w:val="00F067EB"/>
    <w:rsid w:val="00F218A0"/>
    <w:rsid w:val="00F60338"/>
    <w:rsid w:val="00F6498D"/>
    <w:rsid w:val="00F66527"/>
    <w:rsid w:val="00F80B6D"/>
    <w:rsid w:val="00F81E1D"/>
    <w:rsid w:val="00F93FE5"/>
    <w:rsid w:val="00F96663"/>
    <w:rsid w:val="00FA39D6"/>
    <w:rsid w:val="00FA3F07"/>
    <w:rsid w:val="00FA414A"/>
    <w:rsid w:val="00FA50F8"/>
    <w:rsid w:val="00FA7B5E"/>
    <w:rsid w:val="00FB0309"/>
    <w:rsid w:val="00FB0DF1"/>
    <w:rsid w:val="00FC6870"/>
    <w:rsid w:val="00FD0558"/>
    <w:rsid w:val="00FD61CB"/>
    <w:rsid w:val="00FE09D3"/>
    <w:rsid w:val="00FE2797"/>
    <w:rsid w:val="00FF2D73"/>
    <w:rsid w:val="0107038A"/>
    <w:rsid w:val="5AAE5636"/>
    <w:rsid w:val="6C6A41C5"/>
    <w:rsid w:val="6EB2B6F1"/>
    <w:rsid w:val="71169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BUDG-MAILBOX-D04@ec.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eate a new document." ma:contentTypeScope="" ma:versionID="4f9c962fa346fb4ee4d235e808d9d049">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460808c2c73fea78cf9bc72727922b06"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2.xml><?xml version="1.0" encoding="utf-8"?>
<ds:datastoreItem xmlns:ds="http://schemas.openxmlformats.org/officeDocument/2006/customXml" ds:itemID="{CB8A4936-3AE2-4D63-B129-5C05B5BA8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c1752347-4e16-4ce8-a381-9ddf3e797ad6"/>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2197</Words>
  <Characters>12349</Characters>
  <Application>Microsoft Office Word</Application>
  <DocSecurity>0</DocSecurity>
  <Lines>252</Lines>
  <Paragraphs>114</Paragraphs>
  <ScaleCrop>false</ScaleCrop>
  <Company>European Commission</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BANKOVSKA Katerina (HR)</cp:lastModifiedBy>
  <cp:revision>16</cp:revision>
  <cp:lastPrinted>2023-10-05T14:14:00Z</cp:lastPrinted>
  <dcterms:created xsi:type="dcterms:W3CDTF">2025-06-18T09:48:00Z</dcterms:created>
  <dcterms:modified xsi:type="dcterms:W3CDTF">2025-06-18T14:23:00Z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